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D63663" w14:textId="77777777" w:rsidR="00ED105F" w:rsidRDefault="006E0E68">
      <w:pPr>
        <w:pStyle w:val="Normlny1"/>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 ô v o d o v á   s p r á v a</w:t>
      </w:r>
    </w:p>
    <w:p w14:paraId="39F1633C" w14:textId="77777777" w:rsidR="00ED105F" w:rsidRDefault="006E0E68">
      <w:pPr>
        <w:pStyle w:val="Normlny1"/>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 </w:t>
      </w:r>
    </w:p>
    <w:p w14:paraId="7C78C484" w14:textId="77777777" w:rsidR="00ED105F" w:rsidRDefault="006E0E68">
      <w:pPr>
        <w:pStyle w:val="Normlny1"/>
        <w:numPr>
          <w:ilvl w:val="0"/>
          <w:numId w:val="1"/>
        </w:num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Všeobecná časť</w:t>
      </w:r>
    </w:p>
    <w:p w14:paraId="40180659" w14:textId="77777777" w:rsidR="00ED105F" w:rsidRDefault="00ED105F">
      <w:pPr>
        <w:pStyle w:val="Normlny1"/>
        <w:spacing w:line="240" w:lineRule="auto"/>
        <w:jc w:val="both"/>
        <w:rPr>
          <w:rFonts w:ascii="Times New Roman" w:eastAsia="Times New Roman" w:hAnsi="Times New Roman" w:cs="Times New Roman"/>
          <w:b/>
          <w:bCs/>
          <w:sz w:val="24"/>
          <w:szCs w:val="24"/>
        </w:rPr>
      </w:pPr>
    </w:p>
    <w:p w14:paraId="74B84AB0" w14:textId="77777777" w:rsidR="00ED105F" w:rsidRDefault="006E0E68">
      <w:pPr>
        <w:pStyle w:val="Normlny1"/>
        <w:spacing w:before="240" w:after="240" w:line="240" w:lineRule="auto"/>
        <w:ind w:firstLine="720"/>
        <w:jc w:val="both"/>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 xml:space="preserve">Návrh ústavného zákona, ktorým sa mení ústavný zákon č. 493/2011 Z. z. o rozpočtovej zodpovednosti (ďalej len „ústavný zákon"), predkladajú na rokovanie Národnej rady Slovenskej republiky poslanci Národnej rady Slovenskej republiky Ondrej Dostál, Marián Viskupič, Martina </w:t>
      </w:r>
      <w:proofErr w:type="spellStart"/>
      <w:r>
        <w:rPr>
          <w:rFonts w:ascii="Times New Roman" w:eastAsia="Times New Roman" w:hAnsi="Times New Roman" w:cs="Times New Roman"/>
          <w:sz w:val="24"/>
          <w:szCs w:val="24"/>
        </w:rPr>
        <w:t>Bajo</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Holečková</w:t>
      </w:r>
      <w:proofErr w:type="spellEnd"/>
      <w:r>
        <w:rPr>
          <w:rFonts w:ascii="Times New Roman" w:eastAsia="Times New Roman" w:hAnsi="Times New Roman" w:cs="Times New Roman"/>
          <w:sz w:val="24"/>
          <w:szCs w:val="24"/>
        </w:rPr>
        <w:t xml:space="preserve">, Mária Kolíková, </w:t>
      </w:r>
      <w:r w:rsidR="00964B4A">
        <w:rPr>
          <w:rFonts w:ascii="Times New Roman" w:eastAsia="Times New Roman" w:hAnsi="Times New Roman" w:cs="Times New Roman"/>
          <w:sz w:val="24"/>
          <w:szCs w:val="24"/>
        </w:rPr>
        <w:t xml:space="preserve">Juraj Krúpa, Vladimír </w:t>
      </w:r>
      <w:proofErr w:type="spellStart"/>
      <w:r w:rsidR="00964B4A">
        <w:rPr>
          <w:rFonts w:ascii="Times New Roman" w:eastAsia="Times New Roman" w:hAnsi="Times New Roman" w:cs="Times New Roman"/>
          <w:sz w:val="24"/>
          <w:szCs w:val="24"/>
        </w:rPr>
        <w:t>Ledecký</w:t>
      </w:r>
      <w:proofErr w:type="spellEnd"/>
      <w:r w:rsidR="00964B4A">
        <w:rPr>
          <w:rFonts w:ascii="Times New Roman" w:eastAsia="Times New Roman" w:hAnsi="Times New Roman" w:cs="Times New Roman"/>
          <w:sz w:val="24"/>
          <w:szCs w:val="24"/>
        </w:rPr>
        <w:t xml:space="preserve"> a Vladimíra </w:t>
      </w:r>
      <w:proofErr w:type="spellStart"/>
      <w:r w:rsidR="00964B4A">
        <w:rPr>
          <w:rFonts w:ascii="Times New Roman" w:eastAsia="Times New Roman" w:hAnsi="Times New Roman" w:cs="Times New Roman"/>
          <w:sz w:val="24"/>
          <w:szCs w:val="24"/>
        </w:rPr>
        <w:t>Marcinková</w:t>
      </w:r>
      <w:proofErr w:type="spellEnd"/>
      <w:r w:rsidR="00964B4A">
        <w:rPr>
          <w:rFonts w:ascii="Times New Roman" w:eastAsia="Times New Roman" w:hAnsi="Times New Roman" w:cs="Times New Roman"/>
          <w:sz w:val="24"/>
          <w:szCs w:val="24"/>
        </w:rPr>
        <w:t>.</w:t>
      </w:r>
    </w:p>
    <w:p w14:paraId="5D163148" w14:textId="77777777" w:rsidR="00ED105F" w:rsidRDefault="006E0E68">
      <w:pPr>
        <w:pStyle w:val="Normlny1"/>
        <w:spacing w:before="240" w:after="24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Cieľom navrhovanej právnej úpravy je vyňať územnú samosprávu — obce, mestá a vyššie územné celky — z tých ustanovení sankčného mechanizmu dlhovej brzdy podľa čl. 5 a čl. 12 ústavného zákona, ktoré jej ukladajú povinnosť schváliť vyrovnaný alebo prebytkový rozpočet a povinnosť rozpočtovať výdavky maximálne vo výške výdavkov predchádzajúceho rozpočtového roka. </w:t>
      </w:r>
      <w:r>
        <w:rPr>
          <w:rFonts w:ascii="Times New Roman" w:eastAsia="Times New Roman" w:hAnsi="Times New Roman" w:cs="Times New Roman"/>
          <w:sz w:val="24"/>
          <w:szCs w:val="24"/>
        </w:rPr>
        <w:t>Sankcie voči vláde a ostatné ustanovenia dlhovej brzdy ostávajú nedotknuté; rovnako sa zachováva systém pokút voči obciam a vyšším územným celkom podľa čl. 6 ústavného zákona pri prekročení ich vlastných dlhových limitov.</w:t>
      </w:r>
    </w:p>
    <w:p w14:paraId="376D6E00" w14:textId="77777777" w:rsidR="00ED105F" w:rsidRDefault="006E0E68">
      <w:pPr>
        <w:pStyle w:val="Normlny1"/>
        <w:spacing w:before="240" w:after="24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Pri prijímaní ústavného zákona v roku 2011 sa v dôvodovej správe zdôrazňovalo, že cieľom úpravy bolo „vytvoriť silnejší mechanizmus záväzkov aktuálnej vlády, kde odklon od princípov zodpovednej rozpočtovej politiky znamená okrem politického </w:t>
      </w:r>
      <w:proofErr w:type="spellStart"/>
      <w:r>
        <w:rPr>
          <w:rFonts w:ascii="Times New Roman" w:eastAsia="Times New Roman" w:hAnsi="Times New Roman" w:cs="Times New Roman"/>
          <w:sz w:val="24"/>
          <w:szCs w:val="24"/>
        </w:rPr>
        <w:t>reputačného</w:t>
      </w:r>
      <w:proofErr w:type="spellEnd"/>
      <w:r>
        <w:rPr>
          <w:rFonts w:ascii="Times New Roman" w:eastAsia="Times New Roman" w:hAnsi="Times New Roman" w:cs="Times New Roman"/>
          <w:sz w:val="24"/>
          <w:szCs w:val="24"/>
        </w:rPr>
        <w:t xml:space="preserve"> rizika aj nástup povinnosti uskutočniť ustanovené opatrenia a v niektorých prípadoch vyvodenie priameho represívneho postihu v podobe nielen finančných sankcií, ale aplikácie komplexného ‚sankčného‘ mechanizmu”. Ústavným zákonom sa malo zároveň dosiahnuť „sprísnenie rozpočtových pravidiel pre územnú samosprávu, ktorá je súčasťou rozpočtu verejnej správy".</w:t>
      </w:r>
    </w:p>
    <w:p w14:paraId="7C21BD7A" w14:textId="77777777" w:rsidR="00ED105F" w:rsidRDefault="006E0E68">
      <w:pPr>
        <w:pStyle w:val="Normlny1"/>
        <w:spacing w:before="240" w:after="24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Pravdou však je — a platilo to už v roku 2011 — že územná samospráva má od roku 2005 podstatne prísnejšie zákonné pravidlá rozpočtového hospodárenia, než platia pre centrálnu vládu. Podľa § 17 ods. 6 zákona č. 583/2004 Z. z. o rozpočtových pravidlách územnej samosprávy a o zmene a doplnení niektorých zákonov môže obec a vyšší územný celok prijať návratné zdroje financovania, len ak (a) celková suma dlhu obce alebo vyššieho územného celku neprekročí 60 % skutočných bežných príjmov predchádzajúceho rozpočtového roka a (b) suma splátok návratných zdrojov financovania, vrátane úhrady výnosov a suma splátok záväzkov z investičných dodávateľských úverov neprekročí v príslušnom rozpočtovom roku 25 % skutočných bežných príjmov predchádzajúceho rozpočtového roka znížených o transfery z iných subjektov verejnej správy a prostriedky z Európskej únie. Pri nedodržaní týchto pravidiel sa podľa § 19 toho istého zákona aplikuje ozdravný režim alebo nútená správa, ktorú realizuje Ministerstvo financií Slovenskej republiky.</w:t>
      </w:r>
    </w:p>
    <w:p w14:paraId="356EFC77" w14:textId="77777777" w:rsidR="00ED105F" w:rsidRDefault="006E0E68">
      <w:pPr>
        <w:pStyle w:val="Normlny1"/>
        <w:spacing w:before="240" w:after="24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Tento režim sa za viac ako dvadsať rokov svojej aplikácie osvedčil. Zadlženie územnej samosprávy ostalo vo vymedzených rámcoch a na celkovom dlhu verejnej správy sa podieľa nepatrne. Rada pre rozpočtovú zodpovednosť (ďalej len „RRZ") vo svojom stanovisku z júla 2025</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xml:space="preserve"> uvádza, že „celkový dlh samospráv tvorí iba približne 2 % hrubého dlhu verejnej správy (ide o 1,6 mld. eur z 77,6 mld. eur na konci roku 2024)". Územná samospráva teda nepatrí medzi pôvodcov nárastu verejného dlhu, ktorý spustil aplikáciu sankčných pásiem dlhovej brzdy.</w:t>
      </w:r>
    </w:p>
    <w:p w14:paraId="7DD8208B" w14:textId="77777777" w:rsidR="00ED105F" w:rsidRDefault="006E0E68">
      <w:pPr>
        <w:pStyle w:val="Normlny1"/>
        <w:spacing w:before="240" w:after="24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V tomto kontexte je súčasná aplikácia najtvrdšieho sankčného pásma dlhovej brzdy voči samosprávam neprimeraná. Obce, mestá a samosprávne kraje sú nútené schvaľovať vyrovnaný alebo prebytkový rozpočet a držať výdavky na úrovni predchádzajúceho roka bez ohľadu na to, že na zhoršení verejných financií nemajú podiel a že ich vlastné dlhové pravidlá sú prísnejšie ako pravidlá platné pre vládu. Ide doslova o trestanie subjektu, ktorý za nelichotivý stav verejných financií nezodpovedá a ktorý k nemu vlastným nezodpovedným spravovaním verejných prostriedkov neprispel — a to vládou, ktorá je sama priamo zodpovedná za nárast dlhu (a ktorá doposiaľ nesplnila ani povinnosť požiadať národnú radu o vyslovenie dôvery podľa čl. 5 ods. 8 ústavného zákona).</w:t>
      </w:r>
    </w:p>
    <w:p w14:paraId="676560FD" w14:textId="77777777" w:rsidR="00ED105F" w:rsidRDefault="006E0E68">
      <w:pPr>
        <w:pStyle w:val="Normlny1"/>
        <w:spacing w:before="240" w:after="24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RRZ v citovanom stanovisku ako najvhodnejšie riešenie odporúča „včasnú novelizáciu ústavného zákona o rozpočtovej zodpovednosti" — konkrétne „úplné vypustenie povinnosti schváliť vyrovnaný alebo prebytkový rozpočet (čl. 5 ods. 7 písm. b a čl. 12 ods. 6 písm. b), ako aj povinnosti mať rozpočtované nerastúce výdavky (čl. 5 ods. 6 písm. d a čl. 12 ods. 5 písm. d)". Článok 12 je však </w:t>
      </w:r>
      <w:proofErr w:type="spellStart"/>
      <w:r>
        <w:rPr>
          <w:rFonts w:ascii="Times New Roman" w:eastAsia="Times New Roman" w:hAnsi="Times New Roman" w:cs="Times New Roman"/>
          <w:sz w:val="24"/>
          <w:szCs w:val="24"/>
        </w:rPr>
        <w:t>obsolétny</w:t>
      </w:r>
      <w:proofErr w:type="spellEnd"/>
      <w:r>
        <w:rPr>
          <w:rFonts w:ascii="Times New Roman" w:eastAsia="Times New Roman" w:hAnsi="Times New Roman" w:cs="Times New Roman"/>
          <w:sz w:val="24"/>
          <w:szCs w:val="24"/>
        </w:rPr>
        <w:t xml:space="preserve">, pretože jeho účinnosť bola stanovená do 31. decembra 2017. Z dôvodu jeho aktuálnej neúčinnosti preto nie je nutné ho upravovať. </w:t>
      </w:r>
    </w:p>
    <w:p w14:paraId="3746CAB6" w14:textId="77777777" w:rsidR="00ED105F" w:rsidRDefault="006E0E68">
      <w:pPr>
        <w:pStyle w:val="Normlny1"/>
        <w:spacing w:before="240" w:after="24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Avšak článok 13 priamo odkazuje na článok 12, je aktuálne účinný a vzťahuje sa na rozpočtové roky 2018 až koniec roka 2027, teda je nutná jeho úprava sledujúca cieľ deklarovaný RRZ, a to vypustenie odkazu na čl. 12 ods. 5 písm. d) a 12 ods. 6 </w:t>
      </w:r>
      <w:proofErr w:type="spellStart"/>
      <w:r>
        <w:rPr>
          <w:rFonts w:ascii="Times New Roman" w:eastAsia="Times New Roman" w:hAnsi="Times New Roman" w:cs="Times New Roman"/>
          <w:sz w:val="24"/>
          <w:szCs w:val="24"/>
        </w:rPr>
        <w:t>písm</w:t>
      </w:r>
      <w:proofErr w:type="spellEnd"/>
      <w:r>
        <w:rPr>
          <w:rFonts w:ascii="Times New Roman" w:eastAsia="Times New Roman" w:hAnsi="Times New Roman" w:cs="Times New Roman"/>
          <w:sz w:val="24"/>
          <w:szCs w:val="24"/>
        </w:rPr>
        <w:t xml:space="preserve"> b). </w:t>
      </w:r>
    </w:p>
    <w:p w14:paraId="31DB8B2C" w14:textId="77777777" w:rsidR="00ED105F" w:rsidRDefault="006E0E68">
      <w:pPr>
        <w:pStyle w:val="Normlny1"/>
        <w:spacing w:before="240" w:after="24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Predložený návrh bude mať pozitívny vplyv na služby verejnej správy, nebude mať vplyv na rozpočet verejnej správy, podnikateľské prostredie, sociálne vplyvy, informatizáciu spoločnosti, životné prostredie, manželstvo, rodičovstvo ani rodinu.</w:t>
      </w:r>
    </w:p>
    <w:p w14:paraId="4E76F5C5" w14:textId="77777777" w:rsidR="00ED105F" w:rsidRDefault="006E0E68">
      <w:pPr>
        <w:pStyle w:val="Normlny1"/>
        <w:spacing w:before="240" w:after="24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Návrh je v súlade s Ústavou Slovenskej republiky, ústavnými zákonmi, medzinárodnými zmluvami, ktorými je Slovenská republika viazaná, a právom Európskej únie.</w:t>
      </w:r>
    </w:p>
    <w:p w14:paraId="44BF57CA" w14:textId="77777777" w:rsidR="00ED105F" w:rsidRDefault="00ED105F">
      <w:pPr>
        <w:pStyle w:val="Normlny1"/>
        <w:spacing w:before="240" w:after="240" w:line="240" w:lineRule="auto"/>
        <w:ind w:firstLine="720"/>
        <w:jc w:val="both"/>
        <w:rPr>
          <w:rFonts w:ascii="Times New Roman" w:eastAsia="Times New Roman" w:hAnsi="Times New Roman" w:cs="Times New Roman"/>
          <w:sz w:val="24"/>
          <w:szCs w:val="24"/>
        </w:rPr>
      </w:pPr>
    </w:p>
    <w:p w14:paraId="7B97B652" w14:textId="77777777" w:rsidR="00964B4A" w:rsidRDefault="00964B4A">
      <w:pPr>
        <w:pStyle w:val="Normlny1"/>
        <w:spacing w:before="240" w:after="240" w:line="240" w:lineRule="auto"/>
        <w:ind w:firstLine="720"/>
        <w:jc w:val="both"/>
        <w:rPr>
          <w:rFonts w:ascii="Times New Roman" w:eastAsia="Times New Roman" w:hAnsi="Times New Roman" w:cs="Times New Roman"/>
          <w:sz w:val="24"/>
          <w:szCs w:val="24"/>
        </w:rPr>
      </w:pPr>
    </w:p>
    <w:p w14:paraId="063A751C" w14:textId="77777777" w:rsidR="00964B4A" w:rsidRDefault="00964B4A">
      <w:pPr>
        <w:pStyle w:val="Normlny1"/>
        <w:spacing w:before="240" w:after="240" w:line="240" w:lineRule="auto"/>
        <w:ind w:firstLine="720"/>
        <w:jc w:val="both"/>
        <w:rPr>
          <w:rFonts w:ascii="Times New Roman" w:eastAsia="Times New Roman" w:hAnsi="Times New Roman" w:cs="Times New Roman"/>
          <w:sz w:val="24"/>
          <w:szCs w:val="24"/>
        </w:rPr>
      </w:pPr>
    </w:p>
    <w:p w14:paraId="0BAB5677" w14:textId="77777777" w:rsidR="00964B4A" w:rsidRDefault="00964B4A">
      <w:pPr>
        <w:pStyle w:val="Normlny1"/>
        <w:spacing w:before="240" w:after="240" w:line="240" w:lineRule="auto"/>
        <w:ind w:firstLine="720"/>
        <w:jc w:val="both"/>
        <w:rPr>
          <w:rFonts w:ascii="Times New Roman" w:eastAsia="Times New Roman" w:hAnsi="Times New Roman" w:cs="Times New Roman"/>
          <w:sz w:val="24"/>
          <w:szCs w:val="24"/>
        </w:rPr>
      </w:pPr>
    </w:p>
    <w:p w14:paraId="4720DBE9" w14:textId="77777777" w:rsidR="00964B4A" w:rsidRDefault="00964B4A">
      <w:pPr>
        <w:pStyle w:val="Normlny1"/>
        <w:spacing w:before="240" w:after="240" w:line="240" w:lineRule="auto"/>
        <w:ind w:firstLine="720"/>
        <w:jc w:val="both"/>
        <w:rPr>
          <w:rFonts w:ascii="Times New Roman" w:eastAsia="Times New Roman" w:hAnsi="Times New Roman" w:cs="Times New Roman"/>
          <w:sz w:val="24"/>
          <w:szCs w:val="24"/>
        </w:rPr>
      </w:pPr>
    </w:p>
    <w:p w14:paraId="52A15AD3" w14:textId="77777777" w:rsidR="00964B4A" w:rsidRDefault="00964B4A">
      <w:pPr>
        <w:pStyle w:val="Normlny1"/>
        <w:spacing w:before="240" w:after="240" w:line="240" w:lineRule="auto"/>
        <w:ind w:firstLine="720"/>
        <w:jc w:val="both"/>
        <w:rPr>
          <w:rFonts w:ascii="Times New Roman" w:eastAsia="Times New Roman" w:hAnsi="Times New Roman" w:cs="Times New Roman"/>
          <w:sz w:val="24"/>
          <w:szCs w:val="24"/>
        </w:rPr>
      </w:pPr>
    </w:p>
    <w:p w14:paraId="1326410C" w14:textId="77777777" w:rsidR="00964B4A" w:rsidRDefault="00964B4A">
      <w:pPr>
        <w:pStyle w:val="Normlny1"/>
        <w:spacing w:before="240" w:after="240" w:line="240" w:lineRule="auto"/>
        <w:ind w:firstLine="720"/>
        <w:jc w:val="both"/>
        <w:rPr>
          <w:rFonts w:ascii="Times New Roman" w:eastAsia="Times New Roman" w:hAnsi="Times New Roman" w:cs="Times New Roman"/>
          <w:sz w:val="24"/>
          <w:szCs w:val="24"/>
        </w:rPr>
      </w:pPr>
    </w:p>
    <w:p w14:paraId="3D9A2E85" w14:textId="77777777" w:rsidR="00964B4A" w:rsidRDefault="00964B4A">
      <w:pPr>
        <w:pStyle w:val="Normlny1"/>
        <w:spacing w:before="240" w:after="240" w:line="240" w:lineRule="auto"/>
        <w:ind w:firstLine="720"/>
        <w:jc w:val="both"/>
        <w:rPr>
          <w:rFonts w:ascii="Times New Roman" w:eastAsia="Times New Roman" w:hAnsi="Times New Roman" w:cs="Times New Roman"/>
          <w:sz w:val="24"/>
          <w:szCs w:val="24"/>
        </w:rPr>
      </w:pPr>
    </w:p>
    <w:p w14:paraId="5EF770E4" w14:textId="77777777" w:rsidR="00964B4A" w:rsidRDefault="00964B4A">
      <w:pPr>
        <w:pStyle w:val="Normlny1"/>
        <w:spacing w:before="240" w:after="240" w:line="240" w:lineRule="auto"/>
        <w:ind w:firstLine="720"/>
        <w:jc w:val="both"/>
        <w:rPr>
          <w:rFonts w:ascii="Times New Roman" w:eastAsia="Times New Roman" w:hAnsi="Times New Roman" w:cs="Times New Roman"/>
          <w:sz w:val="24"/>
          <w:szCs w:val="24"/>
        </w:rPr>
      </w:pPr>
    </w:p>
    <w:p w14:paraId="55B2CD18" w14:textId="77777777" w:rsidR="00964B4A" w:rsidRDefault="00964B4A">
      <w:pPr>
        <w:pStyle w:val="Normlny1"/>
        <w:spacing w:before="240" w:after="240" w:line="240" w:lineRule="auto"/>
        <w:ind w:firstLine="720"/>
        <w:jc w:val="both"/>
        <w:rPr>
          <w:rFonts w:ascii="Times New Roman" w:eastAsia="Times New Roman" w:hAnsi="Times New Roman" w:cs="Times New Roman"/>
          <w:sz w:val="24"/>
          <w:szCs w:val="24"/>
        </w:rPr>
      </w:pPr>
    </w:p>
    <w:p w14:paraId="4772EBA2" w14:textId="77777777" w:rsidR="00964B4A" w:rsidRDefault="00964B4A">
      <w:pPr>
        <w:pStyle w:val="Normlny1"/>
        <w:spacing w:before="240" w:after="240" w:line="240" w:lineRule="auto"/>
        <w:ind w:firstLine="720"/>
        <w:jc w:val="both"/>
        <w:rPr>
          <w:rFonts w:ascii="Times New Roman" w:eastAsia="Times New Roman" w:hAnsi="Times New Roman" w:cs="Times New Roman"/>
          <w:sz w:val="24"/>
          <w:szCs w:val="24"/>
        </w:rPr>
      </w:pPr>
    </w:p>
    <w:p w14:paraId="1EC67E7E" w14:textId="77777777" w:rsidR="00964B4A" w:rsidRDefault="00964B4A">
      <w:pPr>
        <w:pStyle w:val="Normlny1"/>
        <w:spacing w:before="240" w:after="240" w:line="240" w:lineRule="auto"/>
        <w:ind w:firstLine="720"/>
        <w:jc w:val="both"/>
        <w:rPr>
          <w:rFonts w:ascii="Times New Roman" w:eastAsia="Times New Roman" w:hAnsi="Times New Roman" w:cs="Times New Roman"/>
          <w:sz w:val="24"/>
          <w:szCs w:val="24"/>
        </w:rPr>
      </w:pPr>
    </w:p>
    <w:p w14:paraId="3FEF7D0B" w14:textId="77777777" w:rsidR="00ED105F" w:rsidRDefault="006E0E68">
      <w:pPr>
        <w:pStyle w:val="Normlny1"/>
        <w:numPr>
          <w:ilvl w:val="0"/>
          <w:numId w:val="1"/>
        </w:num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Osobitná časť </w:t>
      </w:r>
    </w:p>
    <w:p w14:paraId="619CDD98" w14:textId="77777777" w:rsidR="00ED105F" w:rsidRDefault="006E0E68">
      <w:pPr>
        <w:pStyle w:val="Normlny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K čl. I</w:t>
      </w:r>
    </w:p>
    <w:p w14:paraId="59EDFED0" w14:textId="77777777" w:rsidR="00ED105F" w:rsidRDefault="00ED105F">
      <w:pPr>
        <w:pStyle w:val="Normlny1"/>
        <w:rPr>
          <w:rFonts w:ascii="Times New Roman" w:eastAsia="Times New Roman" w:hAnsi="Times New Roman" w:cs="Times New Roman"/>
          <w:b/>
          <w:bCs/>
          <w:sz w:val="24"/>
          <w:szCs w:val="24"/>
        </w:rPr>
      </w:pPr>
    </w:p>
    <w:p w14:paraId="1A554F4D" w14:textId="77777777" w:rsidR="00ED105F" w:rsidRDefault="006E0E68">
      <w:pPr>
        <w:pStyle w:val="Normlny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K bodu 1</w:t>
      </w:r>
    </w:p>
    <w:p w14:paraId="55CFF95D" w14:textId="77777777" w:rsidR="00ED105F" w:rsidRDefault="00ED105F">
      <w:pPr>
        <w:pStyle w:val="Normlny1"/>
        <w:rPr>
          <w:rFonts w:ascii="Times New Roman" w:eastAsia="Times New Roman" w:hAnsi="Times New Roman" w:cs="Times New Roman"/>
          <w:b/>
          <w:bCs/>
          <w:sz w:val="24"/>
          <w:szCs w:val="24"/>
        </w:rPr>
      </w:pPr>
    </w:p>
    <w:p w14:paraId="269E4E10" w14:textId="77777777" w:rsidR="00ED105F" w:rsidRDefault="006E0E68">
      <w:pPr>
        <w:pStyle w:val="Normlny1"/>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čl. 5 ods. 6 sa vypúšťa písmeno d), ktoré obciam a vyšším územným celkom v sankčnom pásme 45 % – 47 % podielu dlhu na hrubom domácom produkte ukladá povinnosť schváliť rozpočet na nasledujúci rozpočtový rok s výdavkami maximálne vo výške výdavkov rozpočtu predchádzajúceho rozpočtového roka. Ostatné opatrenia podľa čl. 5 ods. 6 zamerané na vládu a štátny rozpočet — viazanie výdavkov ministerstvom financií, zákaz poskytovania prostriedkov z rezerv vlády a zákaz medziročného nominálneho rastu konsolidovaných výdavkov verejnej správy — ostávajú zachované. Dôvody vypustenia sú uvedené vo všeobecnej časti dôvodovej správy.</w:t>
      </w:r>
    </w:p>
    <w:p w14:paraId="22257728" w14:textId="77777777" w:rsidR="00ED105F" w:rsidRDefault="00ED105F">
      <w:pPr>
        <w:pStyle w:val="Normlny1"/>
        <w:rPr>
          <w:rFonts w:ascii="Times New Roman" w:eastAsia="Times New Roman" w:hAnsi="Times New Roman" w:cs="Times New Roman"/>
          <w:b/>
          <w:bCs/>
          <w:sz w:val="24"/>
          <w:szCs w:val="24"/>
        </w:rPr>
      </w:pPr>
    </w:p>
    <w:p w14:paraId="12590DFB" w14:textId="77777777" w:rsidR="00ED105F" w:rsidRDefault="00ED105F">
      <w:pPr>
        <w:pStyle w:val="Normlny1"/>
        <w:rPr>
          <w:rFonts w:ascii="Times New Roman" w:eastAsia="Times New Roman" w:hAnsi="Times New Roman" w:cs="Times New Roman"/>
          <w:b/>
          <w:bCs/>
          <w:sz w:val="24"/>
          <w:szCs w:val="24"/>
        </w:rPr>
      </w:pPr>
    </w:p>
    <w:p w14:paraId="7D79FE7E" w14:textId="77777777" w:rsidR="00ED105F" w:rsidRDefault="006E0E68">
      <w:pPr>
        <w:pStyle w:val="Normlny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K bodu 2</w:t>
      </w:r>
    </w:p>
    <w:p w14:paraId="4C251D56" w14:textId="77777777" w:rsidR="00ED105F" w:rsidRDefault="00ED105F">
      <w:pPr>
        <w:pStyle w:val="Normlny1"/>
        <w:rPr>
          <w:rFonts w:ascii="Times New Roman" w:eastAsia="Times New Roman" w:hAnsi="Times New Roman" w:cs="Times New Roman"/>
          <w:b/>
          <w:bCs/>
          <w:sz w:val="24"/>
          <w:szCs w:val="24"/>
        </w:rPr>
      </w:pPr>
    </w:p>
    <w:p w14:paraId="46E345EE" w14:textId="77777777" w:rsidR="00ED105F" w:rsidRDefault="006E0E68">
      <w:pPr>
        <w:pStyle w:val="Normlny1"/>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 čl. 5 ods. 7 sa vypúšťa písmeno b), ktoré obciam a vyšším územným celkom v sankčnom pásme 47 % – 50 % podielu dlhu na hrubom domácom produkte ukladá povinnosť schváliť na nasledujúci rozpočtový rok iba vyrovnaný alebo prebytkový rozpočet. </w:t>
      </w:r>
    </w:p>
    <w:p w14:paraId="17FEA590" w14:textId="77777777" w:rsidR="00ED105F" w:rsidRDefault="00ED105F">
      <w:pPr>
        <w:pStyle w:val="Normlny1"/>
        <w:jc w:val="both"/>
        <w:rPr>
          <w:rFonts w:ascii="Times New Roman" w:eastAsia="Times New Roman" w:hAnsi="Times New Roman" w:cs="Times New Roman"/>
          <w:sz w:val="24"/>
          <w:szCs w:val="24"/>
        </w:rPr>
      </w:pPr>
    </w:p>
    <w:p w14:paraId="1F224095" w14:textId="77777777" w:rsidR="00ED105F" w:rsidRDefault="006E0E68">
      <w:pPr>
        <w:pStyle w:val="Normlny1"/>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Vzhľadom na to, že po vypustení písmena b) by v odseku 7 zostal len jeden text, súčasne sa z dôvodu legislatívnej techniky zrušuje aj označenie písmena a). Vecne sa v plnom rozsahu zachováva pravidlo voči vláde, podľa ktorého vláda v tomto sankčnom pásme nesmie predložiť návrh rozpočtu verejnej správy s rozpočtovaným schodkom, a ak takýto návrh už predložila, je povinná stiahnuť ho z rokovania národnej rady a do 30 dní predložiť návrh rozpočtu verejnej správy súladný s ustanovenými podmienkami. Dôvody vypustenia sú uvedené vo všeobecnej časti dôvodovej správy.</w:t>
      </w:r>
    </w:p>
    <w:p w14:paraId="0014619C" w14:textId="77777777" w:rsidR="00ED105F" w:rsidRDefault="00ED105F">
      <w:pPr>
        <w:pStyle w:val="Normlny1"/>
        <w:rPr>
          <w:rFonts w:ascii="Times New Roman" w:eastAsia="Times New Roman" w:hAnsi="Times New Roman" w:cs="Times New Roman"/>
          <w:b/>
          <w:bCs/>
          <w:sz w:val="24"/>
          <w:szCs w:val="24"/>
        </w:rPr>
      </w:pPr>
    </w:p>
    <w:p w14:paraId="28F14A1B" w14:textId="77777777" w:rsidR="00ED105F" w:rsidRDefault="006E0E68">
      <w:pPr>
        <w:pStyle w:val="Normlny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K bodu 3</w:t>
      </w:r>
    </w:p>
    <w:p w14:paraId="4BB4BCA2" w14:textId="77777777" w:rsidR="00ED105F" w:rsidRDefault="00ED105F">
      <w:pPr>
        <w:pStyle w:val="Normlny1"/>
        <w:rPr>
          <w:rFonts w:ascii="Times New Roman" w:eastAsia="Times New Roman" w:hAnsi="Times New Roman" w:cs="Times New Roman"/>
          <w:b/>
          <w:bCs/>
          <w:sz w:val="24"/>
          <w:szCs w:val="24"/>
        </w:rPr>
      </w:pPr>
    </w:p>
    <w:p w14:paraId="6FB57D9F" w14:textId="77777777" w:rsidR="00ED105F" w:rsidRDefault="006E0E68">
      <w:pPr>
        <w:pStyle w:val="Normlny1"/>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Čl. 13 ústavného zákona ustanovuje, že počnúc rozpočtovým rokom 2018 a do konca rozpočtového roka 2027 sa horný limit dlhu verejnej správy znižuje o jeden percentuálny bod ročne, pričom sa v tomto období uplatňujú „rovnaké opatrenia, ako sú uvedené v čl. 12 ods. 3 až 7" — so zodpovedajúcim posunom prahov o jeden percentuálny bod ročne. Hoci samotný čl. 12 stratil priamu účinnosť 31. decembra 2017, jeho ustanovenia naďalej tvoria pre prechodné obdobie do konca rozpočtového roka 2027 obsahový základ sankčného mechanizmu prostredníctvom odkazu v čl. 13. Bez úpravy čl. 13 by tak povinnosti obcí a vyšších územných celkov podľa čl. 12 ods. 5 písm. d) (povinnosť rozpočtovať výdavky maximálne vo výške výdavkov predchádzajúceho rozpočtového roka) a podľa čl. 12 ods. 6 písm. b) (povinnosť schváliť iba vyrovnaný alebo prebytkový rozpočet) ďalej platili v prechodnom období do konca rozpočtového roka 2027, čo je v rozpore s cieľom tohto návrhu. Úpravou odkazu v čl. 13 sa preto z aplikácie v prechodnom období vyníma čl. 12 ods. 5 písm. </w:t>
      </w:r>
      <w:r>
        <w:rPr>
          <w:rFonts w:ascii="Times New Roman" w:eastAsia="Times New Roman" w:hAnsi="Times New Roman" w:cs="Times New Roman"/>
          <w:sz w:val="24"/>
          <w:szCs w:val="24"/>
        </w:rPr>
        <w:lastRenderedPageBreak/>
        <w:t>d) aj čl. 12 ods. 6 písm. b); naďalej sa uplatňujú ostatné opatrenia uvedené v čl. 12 ods. 3, 4, 5 písm. a) až c), ods. 6 písm. a) a ods. 7, ktoré sa týkajú vlády a štátneho rozpočtu. Dôvody vyňatia uvedených povinností samospráv sú uvedené vo všeobecnej časti dôvodovej správy.</w:t>
      </w:r>
    </w:p>
    <w:p w14:paraId="20A136BF" w14:textId="77777777" w:rsidR="00ED105F" w:rsidRDefault="00ED105F">
      <w:pPr>
        <w:pStyle w:val="Normlny1"/>
        <w:rPr>
          <w:rFonts w:ascii="Times New Roman" w:eastAsia="Times New Roman" w:hAnsi="Times New Roman" w:cs="Times New Roman"/>
          <w:b/>
          <w:bCs/>
          <w:sz w:val="24"/>
          <w:szCs w:val="24"/>
        </w:rPr>
      </w:pPr>
    </w:p>
    <w:p w14:paraId="63BE0C22" w14:textId="77777777" w:rsidR="00ED105F" w:rsidRDefault="006E0E68">
      <w:pPr>
        <w:pStyle w:val="Normlny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K čl. II</w:t>
      </w:r>
    </w:p>
    <w:p w14:paraId="0CE470E3" w14:textId="77777777" w:rsidR="00ED105F" w:rsidRDefault="00ED105F">
      <w:pPr>
        <w:pStyle w:val="Normlny1"/>
        <w:rPr>
          <w:rFonts w:ascii="Times New Roman" w:eastAsia="Times New Roman" w:hAnsi="Times New Roman" w:cs="Times New Roman"/>
          <w:b/>
          <w:bCs/>
          <w:sz w:val="24"/>
          <w:szCs w:val="24"/>
        </w:rPr>
      </w:pPr>
    </w:p>
    <w:p w14:paraId="32CB6399" w14:textId="77777777" w:rsidR="00ED105F" w:rsidRDefault="006E0E68">
      <w:pPr>
        <w:pStyle w:val="Normlny1"/>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r>
      <w:r>
        <w:rPr>
          <w:rFonts w:ascii="Times New Roman" w:eastAsia="Times New Roman" w:hAnsi="Times New Roman" w:cs="Times New Roman"/>
          <w:sz w:val="24"/>
          <w:szCs w:val="24"/>
        </w:rPr>
        <w:t>Vzhľadom na to, že súčasné fiškálne podmienky vedú k aplikácii najtvrdšieho sankčného pásma dlhovej brzdy a územné samosprávy sú týmto sankčným režimom bezprostredne dotknuté pri zostavovaní rozpočtov na nasledujúci rozpočtový rok (2027), navrhuje sa účinnosť ústavného zákona dňom vyhlásenia.</w:t>
      </w:r>
      <w:r>
        <w:br w:type="page"/>
      </w:r>
    </w:p>
    <w:p w14:paraId="3FB8A1B9" w14:textId="77777777" w:rsidR="00ED105F" w:rsidRDefault="006E0E68">
      <w:pPr>
        <w:pStyle w:val="Normlny1"/>
        <w:widowControl w:val="0"/>
        <w:spacing w:line="240" w:lineRule="auto"/>
        <w:jc w:val="center"/>
        <w:rPr>
          <w:rFonts w:ascii="Times New Roman" w:eastAsia="Times New Roman" w:hAnsi="Times New Roman" w:cs="Times New Roman"/>
          <w:b/>
          <w:bCs/>
          <w:smallCaps/>
          <w:sz w:val="24"/>
          <w:szCs w:val="24"/>
        </w:rPr>
      </w:pPr>
      <w:r>
        <w:rPr>
          <w:rFonts w:ascii="Times New Roman" w:eastAsia="Times New Roman" w:hAnsi="Times New Roman" w:cs="Times New Roman"/>
          <w:b/>
          <w:bCs/>
          <w:smallCaps/>
          <w:sz w:val="24"/>
          <w:szCs w:val="24"/>
        </w:rPr>
        <w:lastRenderedPageBreak/>
        <w:t>DOLOŽKA ZLUČITEĽNOSTI</w:t>
      </w:r>
    </w:p>
    <w:p w14:paraId="29211871" w14:textId="77777777" w:rsidR="00ED105F" w:rsidRDefault="006E0E68">
      <w:pPr>
        <w:pStyle w:val="Normlny1"/>
        <w:widowControl w:val="0"/>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právneho predpisu s právom Európskej únie </w:t>
      </w:r>
    </w:p>
    <w:p w14:paraId="75B35F8B" w14:textId="77777777" w:rsidR="00ED105F" w:rsidRDefault="00ED105F">
      <w:pPr>
        <w:pStyle w:val="Normlny1"/>
        <w:widowControl w:val="0"/>
        <w:spacing w:line="240" w:lineRule="auto"/>
        <w:rPr>
          <w:rFonts w:ascii="Times New Roman" w:eastAsia="Times New Roman" w:hAnsi="Times New Roman" w:cs="Times New Roman"/>
          <w:sz w:val="24"/>
          <w:szCs w:val="24"/>
        </w:rPr>
      </w:pPr>
    </w:p>
    <w:p w14:paraId="7D65560C" w14:textId="77777777" w:rsidR="00ED105F" w:rsidRDefault="00ED105F">
      <w:pPr>
        <w:pStyle w:val="Normlny1"/>
        <w:widowControl w:val="0"/>
        <w:spacing w:line="240" w:lineRule="auto"/>
        <w:rPr>
          <w:rFonts w:ascii="Times New Roman" w:eastAsia="Times New Roman" w:hAnsi="Times New Roman" w:cs="Times New Roman"/>
          <w:sz w:val="24"/>
          <w:szCs w:val="24"/>
        </w:rPr>
      </w:pPr>
    </w:p>
    <w:p w14:paraId="33A3029F" w14:textId="77777777" w:rsidR="00ED105F" w:rsidRDefault="006E0E68">
      <w:pPr>
        <w:pStyle w:val="Normlny1"/>
        <w:widowControl w:val="0"/>
        <w:spacing w:line="240" w:lineRule="auto"/>
        <w:ind w:left="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r>
        <w:rPr>
          <w:rFonts w:ascii="Times New Roman" w:eastAsia="Times New Roman" w:hAnsi="Times New Roman" w:cs="Times New Roman"/>
          <w:b/>
          <w:bCs/>
          <w:sz w:val="24"/>
          <w:szCs w:val="24"/>
        </w:rPr>
        <w:tab/>
        <w:t>Predkladateľ právneho predpisu:</w:t>
      </w:r>
      <w:r>
        <w:rPr>
          <w:rFonts w:ascii="Times New Roman" w:eastAsia="Times New Roman" w:hAnsi="Times New Roman" w:cs="Times New Roman"/>
          <w:sz w:val="24"/>
          <w:szCs w:val="24"/>
        </w:rPr>
        <w:t xml:space="preserve"> Poslanci Národnej rady Slovenskej republiky. </w:t>
      </w:r>
    </w:p>
    <w:p w14:paraId="0FA855C5" w14:textId="77777777" w:rsidR="00ED105F" w:rsidRDefault="006E0E68">
      <w:pPr>
        <w:pStyle w:val="Normlny1"/>
        <w:widowControl w:val="0"/>
        <w:tabs>
          <w:tab w:val="left" w:pos="360"/>
        </w:tabs>
        <w:spacing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47EF2F66" w14:textId="77777777" w:rsidR="00ED105F" w:rsidRDefault="006E0E68">
      <w:pPr>
        <w:pStyle w:val="Normlny1"/>
        <w:widowControl w:val="0"/>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2.   Názov návrhu právneho predpisu: </w:t>
      </w:r>
    </w:p>
    <w:p w14:paraId="3DFA24CF" w14:textId="77777777" w:rsidR="00ED105F" w:rsidRDefault="00ED105F">
      <w:pPr>
        <w:pStyle w:val="Normlny1"/>
        <w:widowControl w:val="0"/>
        <w:spacing w:line="240" w:lineRule="auto"/>
        <w:jc w:val="both"/>
        <w:rPr>
          <w:rFonts w:ascii="Times New Roman" w:eastAsia="Times New Roman" w:hAnsi="Times New Roman" w:cs="Times New Roman"/>
          <w:b/>
          <w:bCs/>
          <w:sz w:val="24"/>
          <w:szCs w:val="24"/>
        </w:rPr>
      </w:pPr>
    </w:p>
    <w:p w14:paraId="4063015A" w14:textId="77777777" w:rsidR="00ED105F" w:rsidRDefault="006E0E68">
      <w:pPr>
        <w:pStyle w:val="Normlny1"/>
        <w:widowControl w:val="0"/>
        <w:spacing w:line="24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Návrh ústavného zákona, ktorým sa mení ústavný zákon č. 493/2011 Z. z. o rozpočtovej zodpovednosti</w:t>
      </w:r>
    </w:p>
    <w:p w14:paraId="31379F9B" w14:textId="77777777" w:rsidR="00ED105F" w:rsidRDefault="00ED105F">
      <w:pPr>
        <w:pStyle w:val="Normlny1"/>
        <w:widowControl w:val="0"/>
        <w:spacing w:line="240" w:lineRule="auto"/>
        <w:ind w:left="708"/>
        <w:jc w:val="both"/>
        <w:rPr>
          <w:rFonts w:ascii="Times New Roman" w:eastAsia="Times New Roman" w:hAnsi="Times New Roman" w:cs="Times New Roman"/>
          <w:sz w:val="24"/>
          <w:szCs w:val="24"/>
          <w:highlight w:val="white"/>
        </w:rPr>
      </w:pPr>
    </w:p>
    <w:p w14:paraId="3DF2C2D8" w14:textId="77777777" w:rsidR="00ED105F" w:rsidRDefault="006E0E68">
      <w:pPr>
        <w:pStyle w:val="Normlny1"/>
        <w:widowControl w:val="0"/>
        <w:spacing w:line="240" w:lineRule="auto"/>
        <w:ind w:left="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w:t>
      </w:r>
      <w:r>
        <w:rPr>
          <w:rFonts w:ascii="Times New Roman" w:eastAsia="Times New Roman" w:hAnsi="Times New Roman" w:cs="Times New Roman"/>
          <w:b/>
          <w:bCs/>
          <w:sz w:val="24"/>
          <w:szCs w:val="24"/>
        </w:rPr>
        <w:tab/>
        <w:t>Problematika návrhu právneho predpisu:</w:t>
      </w:r>
    </w:p>
    <w:p w14:paraId="2529A187" w14:textId="77777777" w:rsidR="00ED105F" w:rsidRDefault="00ED105F">
      <w:pPr>
        <w:pStyle w:val="Normlny1"/>
        <w:widowControl w:val="0"/>
        <w:spacing w:line="240" w:lineRule="auto"/>
        <w:ind w:firstLine="360"/>
        <w:rPr>
          <w:rFonts w:ascii="Times New Roman" w:eastAsia="Times New Roman" w:hAnsi="Times New Roman" w:cs="Times New Roman"/>
          <w:sz w:val="24"/>
          <w:szCs w:val="24"/>
        </w:rPr>
      </w:pPr>
    </w:p>
    <w:p w14:paraId="49266F57" w14:textId="77777777" w:rsidR="00ED105F" w:rsidRDefault="006E0E68">
      <w:pPr>
        <w:pStyle w:val="Normlny1"/>
        <w:widowControl w:val="0"/>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a) je upravená v práve Európskej únie</w:t>
      </w:r>
    </w:p>
    <w:p w14:paraId="628A3864" w14:textId="77777777" w:rsidR="00ED105F" w:rsidRDefault="00ED105F">
      <w:pPr>
        <w:pStyle w:val="Normlny1"/>
        <w:widowControl w:val="0"/>
        <w:spacing w:line="240" w:lineRule="auto"/>
        <w:ind w:left="709" w:hanging="349"/>
        <w:rPr>
          <w:rFonts w:ascii="Times New Roman" w:eastAsia="Times New Roman" w:hAnsi="Times New Roman" w:cs="Times New Roman"/>
          <w:sz w:val="24"/>
          <w:szCs w:val="24"/>
        </w:rPr>
      </w:pPr>
    </w:p>
    <w:p w14:paraId="6BA241B9" w14:textId="77777777" w:rsidR="00ED105F" w:rsidRDefault="006E0E68">
      <w:pPr>
        <w:pStyle w:val="Normlny1"/>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Primárne právo:</w:t>
      </w:r>
    </w:p>
    <w:p w14:paraId="4AC0378A" w14:textId="77777777" w:rsidR="00ED105F" w:rsidRDefault="006E0E68">
      <w:pPr>
        <w:pStyle w:val="Normlny1"/>
        <w:widowControl w:val="0"/>
        <w:numPr>
          <w:ilvl w:val="0"/>
          <w:numId w:val="2"/>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čl. 121 a 126 Zmluvy o fungovaní Európskej únie</w:t>
      </w:r>
    </w:p>
    <w:p w14:paraId="4B1F812C" w14:textId="77777777" w:rsidR="00ED105F" w:rsidRDefault="006E0E68">
      <w:pPr>
        <w:pStyle w:val="Normlny1"/>
        <w:widowControl w:val="0"/>
        <w:numPr>
          <w:ilvl w:val="0"/>
          <w:numId w:val="2"/>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Protokol (č. 12) o postupe pri nadmernom deficite pripojený k Zmluve o fungovaní Európskej únie a Zmluve o Európskej únii</w:t>
      </w:r>
    </w:p>
    <w:p w14:paraId="12AB5F3C" w14:textId="77777777" w:rsidR="00ED105F" w:rsidRDefault="006E0E68">
      <w:pPr>
        <w:pStyle w:val="Normlny1"/>
        <w:widowControl w:val="0"/>
        <w:numPr>
          <w:ilvl w:val="0"/>
          <w:numId w:val="2"/>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čl. 3 Zmluvy o stabilite, koordinácii a správe v hospodárskej a menovej únii (tzv. Fiškálny kompakt) z 2. marca 2012.</w:t>
      </w:r>
    </w:p>
    <w:p w14:paraId="53714A00" w14:textId="77777777" w:rsidR="00ED105F" w:rsidRDefault="00ED105F">
      <w:pPr>
        <w:pStyle w:val="Normlny1"/>
        <w:widowControl w:val="0"/>
        <w:spacing w:line="240" w:lineRule="auto"/>
        <w:rPr>
          <w:rFonts w:ascii="Times New Roman" w:eastAsia="Times New Roman" w:hAnsi="Times New Roman" w:cs="Times New Roman"/>
          <w:sz w:val="24"/>
          <w:szCs w:val="24"/>
        </w:rPr>
      </w:pPr>
    </w:p>
    <w:p w14:paraId="3C30CD99" w14:textId="77777777" w:rsidR="00ED105F" w:rsidRDefault="006E0E68">
      <w:pPr>
        <w:pStyle w:val="Normlny1"/>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Sekundárne právo:</w:t>
      </w:r>
    </w:p>
    <w:p w14:paraId="374C3A21" w14:textId="77777777" w:rsidR="00ED105F" w:rsidRDefault="006E0E68">
      <w:pPr>
        <w:pStyle w:val="Normlny1"/>
        <w:widowControl w:val="0"/>
        <w:numPr>
          <w:ilvl w:val="0"/>
          <w:numId w:val="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smernica Rady 2011/85/EÚ z 8. novembra 2011 o požiadavkách na rozpočtové rámce členských štátov (Ú. v. EÚ L 306, 23. 11. 2011) v znení smernice Rady (EÚ) 2024/1265 z 29. apríla 2024, ktorou sa mení smernica 2011/85/EÚ o požiadavkách na rozpočtové rámce členských štátov (Ú. v. EÚ L, 2024/1265, 30. 4. 2024)</w:t>
      </w:r>
    </w:p>
    <w:p w14:paraId="025ECBC6" w14:textId="77777777" w:rsidR="00ED105F" w:rsidRDefault="00ED105F">
      <w:pPr>
        <w:pStyle w:val="Normlny1"/>
        <w:widowControl w:val="0"/>
        <w:spacing w:line="240" w:lineRule="auto"/>
        <w:rPr>
          <w:rFonts w:ascii="Times New Roman" w:eastAsia="Times New Roman" w:hAnsi="Times New Roman" w:cs="Times New Roman"/>
          <w:sz w:val="24"/>
          <w:szCs w:val="24"/>
        </w:rPr>
      </w:pPr>
    </w:p>
    <w:p w14:paraId="09BC1EDC" w14:textId="77777777" w:rsidR="00ED105F" w:rsidRDefault="006E0E68">
      <w:pPr>
        <w:pStyle w:val="Normlny1"/>
        <w:widowControl w:val="0"/>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b) nie je upravená v judikatúre Súdneho dvora Európskej únie</w:t>
      </w:r>
    </w:p>
    <w:p w14:paraId="10F88CAF" w14:textId="77777777" w:rsidR="00ED105F" w:rsidRDefault="00ED105F">
      <w:pPr>
        <w:pStyle w:val="Normlny1"/>
        <w:widowControl w:val="0"/>
        <w:spacing w:line="240" w:lineRule="auto"/>
        <w:rPr>
          <w:rFonts w:ascii="Times New Roman" w:eastAsia="Times New Roman" w:hAnsi="Times New Roman" w:cs="Times New Roman"/>
          <w:sz w:val="24"/>
          <w:szCs w:val="24"/>
        </w:rPr>
      </w:pPr>
    </w:p>
    <w:p w14:paraId="2A39C6DF" w14:textId="77777777" w:rsidR="00ED105F" w:rsidRDefault="006E0E68">
      <w:pPr>
        <w:pStyle w:val="Normlny1"/>
        <w:widowControl w:val="0"/>
        <w:spacing w:line="240" w:lineRule="auto"/>
        <w:ind w:left="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w:t>
      </w:r>
      <w:r>
        <w:rPr>
          <w:rFonts w:ascii="Times New Roman" w:eastAsia="Times New Roman" w:hAnsi="Times New Roman" w:cs="Times New Roman"/>
          <w:b/>
          <w:bCs/>
          <w:sz w:val="24"/>
          <w:szCs w:val="24"/>
        </w:rPr>
        <w:tab/>
        <w:t xml:space="preserve">Záväzky Slovenskej republiky vo vzťahu k Európskej únii: </w:t>
      </w:r>
    </w:p>
    <w:p w14:paraId="058F112D" w14:textId="77777777" w:rsidR="00ED105F" w:rsidRDefault="00ED105F">
      <w:pPr>
        <w:pStyle w:val="Normlny1"/>
        <w:widowControl w:val="0"/>
        <w:spacing w:line="240" w:lineRule="auto"/>
        <w:rPr>
          <w:rFonts w:ascii="Times New Roman" w:eastAsia="Times New Roman" w:hAnsi="Times New Roman" w:cs="Times New Roman"/>
          <w:sz w:val="24"/>
          <w:szCs w:val="24"/>
        </w:rPr>
      </w:pPr>
    </w:p>
    <w:p w14:paraId="5C9290FF" w14:textId="77777777" w:rsidR="00ED105F" w:rsidRDefault="006E0E68">
      <w:pPr>
        <w:pStyle w:val="Normlny1"/>
        <w:widowControl w:val="0"/>
        <w:spacing w:line="240" w:lineRule="auto"/>
        <w:ind w:firstLine="360"/>
        <w:rPr>
          <w:rFonts w:ascii="Times New Roman" w:eastAsia="Times New Roman" w:hAnsi="Times New Roman" w:cs="Times New Roman"/>
          <w:sz w:val="24"/>
          <w:szCs w:val="24"/>
        </w:rPr>
      </w:pPr>
      <w:r>
        <w:rPr>
          <w:rFonts w:ascii="Times New Roman" w:eastAsia="Times New Roman" w:hAnsi="Times New Roman" w:cs="Times New Roman"/>
          <w:sz w:val="24"/>
          <w:szCs w:val="24"/>
        </w:rPr>
        <w:t>bezpredmetné </w:t>
      </w:r>
    </w:p>
    <w:p w14:paraId="7DD17E2E" w14:textId="77777777" w:rsidR="00ED105F" w:rsidRDefault="00ED105F">
      <w:pPr>
        <w:pStyle w:val="Normlny1"/>
        <w:widowControl w:val="0"/>
        <w:spacing w:line="240" w:lineRule="auto"/>
        <w:ind w:firstLine="708"/>
        <w:rPr>
          <w:rFonts w:ascii="Times New Roman" w:eastAsia="Times New Roman" w:hAnsi="Times New Roman" w:cs="Times New Roman"/>
          <w:sz w:val="24"/>
          <w:szCs w:val="24"/>
        </w:rPr>
      </w:pPr>
    </w:p>
    <w:p w14:paraId="68E2B6AD" w14:textId="77777777" w:rsidR="00ED105F" w:rsidRDefault="006E0E68">
      <w:pPr>
        <w:pStyle w:val="Normlny1"/>
        <w:widowControl w:val="0"/>
        <w:spacing w:line="240" w:lineRule="auto"/>
        <w:ind w:left="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w:t>
      </w:r>
      <w:r>
        <w:rPr>
          <w:rFonts w:ascii="Times New Roman" w:eastAsia="Times New Roman" w:hAnsi="Times New Roman" w:cs="Times New Roman"/>
          <w:b/>
          <w:bCs/>
          <w:sz w:val="24"/>
          <w:szCs w:val="24"/>
        </w:rPr>
        <w:tab/>
        <w:t>Stupeň zlučiteľnosti návrhu právneho predpisu s právom Európskej únie:</w:t>
      </w:r>
    </w:p>
    <w:p w14:paraId="5C86F060" w14:textId="77777777" w:rsidR="00ED105F" w:rsidRDefault="00ED105F">
      <w:pPr>
        <w:pStyle w:val="Normlny1"/>
        <w:widowControl w:val="0"/>
        <w:spacing w:line="240" w:lineRule="auto"/>
        <w:rPr>
          <w:rFonts w:ascii="Times New Roman" w:eastAsia="Times New Roman" w:hAnsi="Times New Roman" w:cs="Times New Roman"/>
          <w:sz w:val="24"/>
          <w:szCs w:val="24"/>
        </w:rPr>
      </w:pPr>
    </w:p>
    <w:p w14:paraId="3FC0716F" w14:textId="77777777" w:rsidR="00ED105F" w:rsidRDefault="006E0E68">
      <w:pPr>
        <w:pStyle w:val="Normlny1"/>
        <w:widowControl w:val="0"/>
        <w:spacing w:line="240" w:lineRule="auto"/>
        <w:ind w:firstLine="360"/>
        <w:rPr>
          <w:rFonts w:ascii="Times New Roman" w:eastAsia="Times New Roman" w:hAnsi="Times New Roman" w:cs="Times New Roman"/>
          <w:sz w:val="24"/>
          <w:szCs w:val="24"/>
        </w:rPr>
      </w:pPr>
      <w:r>
        <w:rPr>
          <w:rFonts w:ascii="Times New Roman" w:eastAsia="Times New Roman" w:hAnsi="Times New Roman" w:cs="Times New Roman"/>
          <w:sz w:val="24"/>
          <w:szCs w:val="24"/>
        </w:rPr>
        <w:t>Stupeň zlučiteľnosti - úplný </w:t>
      </w:r>
    </w:p>
    <w:p w14:paraId="54CC9201" w14:textId="77777777" w:rsidR="00ED105F" w:rsidRDefault="006E0E68">
      <w:pPr>
        <w:pStyle w:val="Normlny1"/>
        <w:widowControl w:val="0"/>
        <w:tabs>
          <w:tab w:val="left" w:pos="360"/>
        </w:tabs>
        <w:spacing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br/>
      </w:r>
    </w:p>
    <w:p w14:paraId="470A12AB" w14:textId="77777777" w:rsidR="00ED105F" w:rsidRDefault="00ED105F">
      <w:pPr>
        <w:pStyle w:val="Normlny1"/>
        <w:widowControl w:val="0"/>
        <w:spacing w:after="200"/>
        <w:ind w:right="-108"/>
        <w:jc w:val="center"/>
        <w:rPr>
          <w:rFonts w:ascii="Times New Roman" w:eastAsia="Times New Roman" w:hAnsi="Times New Roman" w:cs="Times New Roman"/>
          <w:b/>
          <w:bCs/>
          <w:sz w:val="24"/>
          <w:szCs w:val="24"/>
        </w:rPr>
      </w:pPr>
    </w:p>
    <w:p w14:paraId="687B0FF2" w14:textId="77777777" w:rsidR="00ED105F" w:rsidRDefault="00ED105F">
      <w:pPr>
        <w:pStyle w:val="Normlny1"/>
        <w:widowControl w:val="0"/>
        <w:spacing w:after="200"/>
        <w:ind w:right="-108"/>
        <w:jc w:val="center"/>
        <w:rPr>
          <w:rFonts w:ascii="Times New Roman" w:eastAsia="Times New Roman" w:hAnsi="Times New Roman" w:cs="Times New Roman"/>
          <w:b/>
          <w:bCs/>
          <w:sz w:val="28"/>
          <w:szCs w:val="28"/>
        </w:rPr>
      </w:pPr>
    </w:p>
    <w:p w14:paraId="541FB159" w14:textId="77777777" w:rsidR="00964B4A" w:rsidRDefault="00964B4A" w:rsidP="00964B4A">
      <w:pPr>
        <w:pStyle w:val="Normlny1"/>
        <w:widowControl w:val="0"/>
        <w:spacing w:after="200"/>
        <w:ind w:right="-108"/>
      </w:pPr>
    </w:p>
    <w:p w14:paraId="5EE37587" w14:textId="77777777" w:rsidR="00964B4A" w:rsidRDefault="00964B4A" w:rsidP="00964B4A">
      <w:pPr>
        <w:pStyle w:val="Normlny1"/>
        <w:widowControl w:val="0"/>
        <w:spacing w:after="200"/>
        <w:ind w:right="-108"/>
      </w:pPr>
    </w:p>
    <w:p w14:paraId="57209FD9" w14:textId="77777777" w:rsidR="00964B4A" w:rsidRDefault="00964B4A" w:rsidP="00964B4A">
      <w:pPr>
        <w:pStyle w:val="Normlny1"/>
        <w:widowControl w:val="0"/>
        <w:spacing w:after="200"/>
        <w:ind w:right="-108"/>
      </w:pPr>
    </w:p>
    <w:p w14:paraId="19A11F93" w14:textId="77777777" w:rsidR="00964B4A" w:rsidRDefault="00964B4A" w:rsidP="00964B4A">
      <w:pPr>
        <w:pStyle w:val="Normlny1"/>
        <w:widowControl w:val="0"/>
        <w:spacing w:after="200"/>
        <w:ind w:right="-108"/>
      </w:pPr>
    </w:p>
    <w:p w14:paraId="554518C7" w14:textId="77777777" w:rsidR="00ED105F" w:rsidRPr="00964B4A" w:rsidRDefault="006E0E68" w:rsidP="00964B4A">
      <w:pPr>
        <w:pStyle w:val="Normlny1"/>
        <w:widowControl w:val="0"/>
        <w:spacing w:after="200"/>
        <w:ind w:right="-108"/>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4"/>
          <w:szCs w:val="24"/>
        </w:rPr>
        <w:lastRenderedPageBreak/>
        <w:t>Doložka vybraných vplyvov</w:t>
      </w:r>
    </w:p>
    <w:p w14:paraId="56D463FB" w14:textId="77777777" w:rsidR="00ED105F" w:rsidRDefault="006E0E68">
      <w:pPr>
        <w:pStyle w:val="Normlny1"/>
        <w:widowControl w:val="0"/>
        <w:spacing w:line="24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b/>
          <w:bCs/>
          <w:sz w:val="24"/>
          <w:szCs w:val="24"/>
        </w:rPr>
        <w:t xml:space="preserve">A.1. Názov materiálu: </w:t>
      </w:r>
    </w:p>
    <w:p w14:paraId="2D0C7E49" w14:textId="77777777" w:rsidR="00ED105F" w:rsidRDefault="00ED105F">
      <w:pPr>
        <w:pStyle w:val="Normlny1"/>
        <w:widowControl w:val="0"/>
        <w:spacing w:line="240" w:lineRule="auto"/>
        <w:jc w:val="both"/>
        <w:rPr>
          <w:rFonts w:ascii="Times New Roman" w:eastAsia="Times New Roman" w:hAnsi="Times New Roman" w:cs="Times New Roman"/>
          <w:sz w:val="24"/>
          <w:szCs w:val="24"/>
        </w:rPr>
      </w:pPr>
    </w:p>
    <w:p w14:paraId="535571C9" w14:textId="77777777" w:rsidR="00ED105F" w:rsidRDefault="006E0E68">
      <w:pPr>
        <w:pStyle w:val="Normlny1"/>
        <w:widowControl w:val="0"/>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Návrh ústavného zákona, ktorým sa mení ústavný zákon č. 493/2011 Z. z. o rozpočtovej zodpovednosti</w:t>
      </w:r>
    </w:p>
    <w:p w14:paraId="0FFB1FDD" w14:textId="77777777" w:rsidR="00ED105F" w:rsidRDefault="00ED105F">
      <w:pPr>
        <w:pStyle w:val="Normlny1"/>
        <w:widowControl w:val="0"/>
        <w:spacing w:line="240" w:lineRule="auto"/>
        <w:jc w:val="both"/>
        <w:rPr>
          <w:rFonts w:ascii="Times New Roman" w:eastAsia="Times New Roman" w:hAnsi="Times New Roman" w:cs="Times New Roman"/>
          <w:sz w:val="24"/>
          <w:szCs w:val="24"/>
        </w:rPr>
      </w:pPr>
    </w:p>
    <w:p w14:paraId="30020DB8" w14:textId="77777777" w:rsidR="00ED105F" w:rsidRDefault="006E0E68">
      <w:pPr>
        <w:pStyle w:val="Normlny1"/>
        <w:widowControl w:val="0"/>
        <w:spacing w:after="200" w:line="240" w:lineRule="auto"/>
        <w:rPr>
          <w:rFonts w:ascii="Times New Roman" w:eastAsia="Times New Roman" w:hAnsi="Times New Roman" w:cs="Times New Roman"/>
          <w:b/>
          <w:bCs/>
        </w:rPr>
      </w:pPr>
      <w:r>
        <w:rPr>
          <w:rFonts w:ascii="Times New Roman" w:eastAsia="Times New Roman" w:hAnsi="Times New Roman" w:cs="Times New Roman"/>
          <w:b/>
          <w:bCs/>
        </w:rPr>
        <w:t>A.2. Vplyvy:</w:t>
      </w:r>
    </w:p>
    <w:tbl>
      <w:tblPr>
        <w:tblStyle w:val="a"/>
        <w:tblW w:w="758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37"/>
        <w:gridCol w:w="1245"/>
        <w:gridCol w:w="1263"/>
        <w:gridCol w:w="1340"/>
      </w:tblGrid>
      <w:tr w:rsidR="00ED105F" w14:paraId="6085D066" w14:textId="77777777">
        <w:trPr>
          <w:trHeight w:val="432"/>
        </w:trPr>
        <w:tc>
          <w:tcPr>
            <w:tcW w:w="3737" w:type="dxa"/>
            <w:tcBorders>
              <w:top w:val="single" w:sz="4" w:space="0" w:color="000000"/>
              <w:left w:val="single" w:sz="4" w:space="0" w:color="000000"/>
              <w:bottom w:val="single" w:sz="4" w:space="0" w:color="000000"/>
              <w:right w:val="single" w:sz="4" w:space="0" w:color="000000"/>
            </w:tcBorders>
          </w:tcPr>
          <w:p w14:paraId="59D51AAB" w14:textId="77777777" w:rsidR="00ED105F" w:rsidRPr="00964B4A" w:rsidRDefault="00ED105F">
            <w:pPr>
              <w:pStyle w:val="Normlny1"/>
              <w:widowControl w:val="0"/>
              <w:spacing w:after="200" w:line="240" w:lineRule="auto"/>
              <w:rPr>
                <w:rFonts w:ascii="Times New Roman" w:eastAsia="Times New Roman" w:hAnsi="Times New Roman" w:cs="Times New Roman"/>
                <w:sz w:val="18"/>
                <w:szCs w:val="18"/>
              </w:rPr>
            </w:pPr>
          </w:p>
        </w:tc>
        <w:tc>
          <w:tcPr>
            <w:tcW w:w="1245" w:type="dxa"/>
            <w:tcBorders>
              <w:top w:val="single" w:sz="4" w:space="0" w:color="000000"/>
              <w:left w:val="single" w:sz="4" w:space="0" w:color="000000"/>
              <w:bottom w:val="single" w:sz="4" w:space="0" w:color="000000"/>
              <w:right w:val="single" w:sz="4" w:space="0" w:color="000000"/>
            </w:tcBorders>
            <w:vAlign w:val="center"/>
          </w:tcPr>
          <w:p w14:paraId="5F6CEF41" w14:textId="77777777" w:rsidR="00ED105F" w:rsidRPr="00964B4A" w:rsidRDefault="006E0E68">
            <w:pPr>
              <w:pStyle w:val="Normlny1"/>
              <w:widowControl w:val="0"/>
              <w:spacing w:after="200" w:line="240" w:lineRule="auto"/>
              <w:jc w:val="center"/>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Pozitívne</w:t>
            </w:r>
            <w:r w:rsidRPr="00964B4A">
              <w:rPr>
                <w:rFonts w:ascii="Times New Roman" w:eastAsia="Times New Roman" w:hAnsi="Times New Roman" w:cs="Times New Roman"/>
                <w:sz w:val="18"/>
                <w:szCs w:val="18"/>
                <w:vertAlign w:val="superscript"/>
              </w:rPr>
              <w:t>*</w:t>
            </w:r>
            <w:r w:rsidRPr="00964B4A">
              <w:rPr>
                <w:rFonts w:ascii="Times New Roman" w:eastAsia="Times New Roman" w:hAnsi="Times New Roman" w:cs="Times New Roman"/>
                <w:sz w:val="18"/>
                <w:szCs w:val="18"/>
              </w:rPr>
              <w:t xml:space="preserve"> </w:t>
            </w:r>
          </w:p>
        </w:tc>
        <w:tc>
          <w:tcPr>
            <w:tcW w:w="1263" w:type="dxa"/>
            <w:tcBorders>
              <w:top w:val="single" w:sz="4" w:space="0" w:color="000000"/>
              <w:left w:val="single" w:sz="4" w:space="0" w:color="000000"/>
              <w:bottom w:val="single" w:sz="4" w:space="0" w:color="000000"/>
              <w:right w:val="single" w:sz="4" w:space="0" w:color="000000"/>
            </w:tcBorders>
            <w:vAlign w:val="center"/>
          </w:tcPr>
          <w:p w14:paraId="71238859" w14:textId="77777777" w:rsidR="00ED105F" w:rsidRPr="00964B4A" w:rsidRDefault="006E0E68">
            <w:pPr>
              <w:pStyle w:val="Normlny1"/>
              <w:widowControl w:val="0"/>
              <w:spacing w:after="200" w:line="240" w:lineRule="auto"/>
              <w:jc w:val="center"/>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Žiadne</w:t>
            </w:r>
            <w:r w:rsidRPr="00964B4A">
              <w:rPr>
                <w:rFonts w:ascii="Times New Roman" w:eastAsia="Times New Roman" w:hAnsi="Times New Roman" w:cs="Times New Roman"/>
                <w:sz w:val="18"/>
                <w:szCs w:val="18"/>
                <w:vertAlign w:val="superscript"/>
              </w:rPr>
              <w:t>*</w:t>
            </w:r>
          </w:p>
        </w:tc>
        <w:tc>
          <w:tcPr>
            <w:tcW w:w="1340" w:type="dxa"/>
            <w:tcBorders>
              <w:top w:val="single" w:sz="4" w:space="0" w:color="000000"/>
              <w:left w:val="single" w:sz="4" w:space="0" w:color="000000"/>
              <w:bottom w:val="single" w:sz="4" w:space="0" w:color="000000"/>
              <w:right w:val="single" w:sz="4" w:space="0" w:color="000000"/>
            </w:tcBorders>
            <w:vAlign w:val="center"/>
          </w:tcPr>
          <w:p w14:paraId="7B32A235" w14:textId="77777777" w:rsidR="00ED105F" w:rsidRPr="00964B4A" w:rsidRDefault="006E0E68">
            <w:pPr>
              <w:pStyle w:val="Normlny1"/>
              <w:widowControl w:val="0"/>
              <w:spacing w:after="200" w:line="240" w:lineRule="auto"/>
              <w:jc w:val="center"/>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Negatívne</w:t>
            </w:r>
            <w:r w:rsidRPr="00964B4A">
              <w:rPr>
                <w:rFonts w:ascii="Times New Roman" w:eastAsia="Times New Roman" w:hAnsi="Times New Roman" w:cs="Times New Roman"/>
                <w:sz w:val="18"/>
                <w:szCs w:val="18"/>
                <w:vertAlign w:val="superscript"/>
              </w:rPr>
              <w:t>*</w:t>
            </w:r>
          </w:p>
        </w:tc>
      </w:tr>
      <w:tr w:rsidR="00ED105F" w14:paraId="41BBC3C6" w14:textId="77777777" w:rsidTr="00964B4A">
        <w:trPr>
          <w:trHeight w:val="413"/>
        </w:trPr>
        <w:tc>
          <w:tcPr>
            <w:tcW w:w="3737" w:type="dxa"/>
            <w:tcBorders>
              <w:top w:val="single" w:sz="4" w:space="0" w:color="000000"/>
              <w:left w:val="single" w:sz="4" w:space="0" w:color="000000"/>
              <w:bottom w:val="single" w:sz="4" w:space="0" w:color="000000"/>
              <w:right w:val="single" w:sz="4" w:space="0" w:color="000000"/>
            </w:tcBorders>
          </w:tcPr>
          <w:p w14:paraId="0898D0B8" w14:textId="77777777" w:rsidR="00ED105F" w:rsidRPr="00964B4A" w:rsidRDefault="006E0E68">
            <w:pPr>
              <w:pStyle w:val="Normlny1"/>
              <w:widowControl w:val="0"/>
              <w:spacing w:after="200" w:line="240" w:lineRule="auto"/>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1. Vplyvy na rozpočet verejnej správy</w:t>
            </w:r>
          </w:p>
          <w:p w14:paraId="698BD964" w14:textId="77777777" w:rsidR="00ED105F" w:rsidRPr="00964B4A" w:rsidRDefault="00ED105F">
            <w:pPr>
              <w:pStyle w:val="Normlny1"/>
              <w:widowControl w:val="0"/>
              <w:spacing w:after="200" w:line="240" w:lineRule="auto"/>
              <w:rPr>
                <w:rFonts w:ascii="Times New Roman" w:eastAsia="Times New Roman" w:hAnsi="Times New Roman" w:cs="Times New Roman"/>
                <w:i/>
                <w:iCs/>
                <w:sz w:val="18"/>
                <w:szCs w:val="18"/>
              </w:rPr>
            </w:pPr>
          </w:p>
        </w:tc>
        <w:tc>
          <w:tcPr>
            <w:tcW w:w="1245" w:type="dxa"/>
            <w:tcBorders>
              <w:top w:val="single" w:sz="4" w:space="0" w:color="000000"/>
              <w:left w:val="single" w:sz="4" w:space="0" w:color="000000"/>
              <w:bottom w:val="single" w:sz="4" w:space="0" w:color="000000"/>
              <w:right w:val="single" w:sz="4" w:space="0" w:color="000000"/>
            </w:tcBorders>
          </w:tcPr>
          <w:p w14:paraId="351FB429"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c>
          <w:tcPr>
            <w:tcW w:w="1263" w:type="dxa"/>
            <w:tcBorders>
              <w:top w:val="single" w:sz="4" w:space="0" w:color="000000"/>
              <w:left w:val="single" w:sz="4" w:space="0" w:color="000000"/>
              <w:bottom w:val="single" w:sz="4" w:space="0" w:color="000000"/>
              <w:right w:val="single" w:sz="4" w:space="0" w:color="000000"/>
            </w:tcBorders>
          </w:tcPr>
          <w:p w14:paraId="1C4F52C7" w14:textId="77777777" w:rsidR="00ED105F" w:rsidRPr="00964B4A" w:rsidRDefault="006E0E68">
            <w:pPr>
              <w:pStyle w:val="Normlny1"/>
              <w:widowControl w:val="0"/>
              <w:spacing w:after="200" w:line="240" w:lineRule="auto"/>
              <w:jc w:val="center"/>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X</w:t>
            </w:r>
          </w:p>
        </w:tc>
        <w:tc>
          <w:tcPr>
            <w:tcW w:w="1340" w:type="dxa"/>
            <w:tcBorders>
              <w:top w:val="single" w:sz="4" w:space="0" w:color="000000"/>
              <w:left w:val="single" w:sz="4" w:space="0" w:color="000000"/>
              <w:bottom w:val="single" w:sz="4" w:space="0" w:color="000000"/>
              <w:right w:val="single" w:sz="4" w:space="0" w:color="000000"/>
            </w:tcBorders>
          </w:tcPr>
          <w:p w14:paraId="2A275384"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r>
      <w:tr w:rsidR="00ED105F" w14:paraId="31E34A27" w14:textId="77777777">
        <w:trPr>
          <w:trHeight w:val="864"/>
        </w:trPr>
        <w:tc>
          <w:tcPr>
            <w:tcW w:w="3737" w:type="dxa"/>
            <w:tcBorders>
              <w:top w:val="single" w:sz="4" w:space="0" w:color="000000"/>
              <w:left w:val="single" w:sz="4" w:space="0" w:color="000000"/>
              <w:bottom w:val="single" w:sz="4" w:space="0" w:color="000000"/>
              <w:right w:val="single" w:sz="4" w:space="0" w:color="000000"/>
            </w:tcBorders>
          </w:tcPr>
          <w:p w14:paraId="5B524E15" w14:textId="77777777" w:rsidR="00ED105F" w:rsidRPr="00964B4A" w:rsidRDefault="006E0E68">
            <w:pPr>
              <w:pStyle w:val="Normlny1"/>
              <w:widowControl w:val="0"/>
              <w:spacing w:after="200" w:line="240" w:lineRule="auto"/>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2. Vplyvy na podnikateľské prostredie – dochádza k zvýšeniu regulačného zaťaženia?</w:t>
            </w:r>
          </w:p>
        </w:tc>
        <w:tc>
          <w:tcPr>
            <w:tcW w:w="1245" w:type="dxa"/>
            <w:tcBorders>
              <w:top w:val="single" w:sz="4" w:space="0" w:color="000000"/>
              <w:left w:val="single" w:sz="4" w:space="0" w:color="000000"/>
              <w:bottom w:val="single" w:sz="4" w:space="0" w:color="000000"/>
              <w:right w:val="single" w:sz="4" w:space="0" w:color="000000"/>
            </w:tcBorders>
          </w:tcPr>
          <w:p w14:paraId="7F8A5C95" w14:textId="77777777" w:rsidR="00ED105F" w:rsidRPr="00964B4A" w:rsidRDefault="00ED105F">
            <w:pPr>
              <w:pStyle w:val="Normlny1"/>
              <w:widowControl w:val="0"/>
              <w:spacing w:after="200"/>
              <w:jc w:val="center"/>
              <w:rPr>
                <w:rFonts w:ascii="Times New Roman" w:eastAsia="Times New Roman" w:hAnsi="Times New Roman" w:cs="Times New Roman"/>
                <w:sz w:val="18"/>
                <w:szCs w:val="18"/>
              </w:rPr>
            </w:pPr>
          </w:p>
        </w:tc>
        <w:tc>
          <w:tcPr>
            <w:tcW w:w="1263" w:type="dxa"/>
            <w:tcBorders>
              <w:top w:val="single" w:sz="4" w:space="0" w:color="000000"/>
              <w:left w:val="single" w:sz="4" w:space="0" w:color="000000"/>
              <w:bottom w:val="single" w:sz="4" w:space="0" w:color="000000"/>
              <w:right w:val="single" w:sz="4" w:space="0" w:color="000000"/>
            </w:tcBorders>
          </w:tcPr>
          <w:p w14:paraId="7A0EC1FA" w14:textId="77777777" w:rsidR="00ED105F" w:rsidRPr="00964B4A" w:rsidRDefault="006E0E68">
            <w:pPr>
              <w:pStyle w:val="Normlny1"/>
              <w:widowControl w:val="0"/>
              <w:spacing w:after="200" w:line="240" w:lineRule="auto"/>
              <w:jc w:val="center"/>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X</w:t>
            </w:r>
          </w:p>
        </w:tc>
        <w:tc>
          <w:tcPr>
            <w:tcW w:w="1340" w:type="dxa"/>
            <w:tcBorders>
              <w:top w:val="single" w:sz="4" w:space="0" w:color="000000"/>
              <w:left w:val="single" w:sz="4" w:space="0" w:color="000000"/>
              <w:bottom w:val="single" w:sz="4" w:space="0" w:color="000000"/>
              <w:right w:val="single" w:sz="4" w:space="0" w:color="000000"/>
            </w:tcBorders>
          </w:tcPr>
          <w:p w14:paraId="23348BC8"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r>
      <w:tr w:rsidR="00ED105F" w14:paraId="0BB03032" w14:textId="77777777">
        <w:trPr>
          <w:trHeight w:val="1881"/>
        </w:trPr>
        <w:tc>
          <w:tcPr>
            <w:tcW w:w="3737" w:type="dxa"/>
            <w:tcBorders>
              <w:top w:val="single" w:sz="4" w:space="0" w:color="000000"/>
              <w:left w:val="single" w:sz="4" w:space="0" w:color="000000"/>
              <w:bottom w:val="single" w:sz="4" w:space="0" w:color="000000"/>
              <w:right w:val="single" w:sz="4" w:space="0" w:color="000000"/>
            </w:tcBorders>
          </w:tcPr>
          <w:p w14:paraId="77A0937B" w14:textId="77777777" w:rsidR="00ED105F" w:rsidRPr="00964B4A" w:rsidRDefault="006E0E68">
            <w:pPr>
              <w:pStyle w:val="Normlny1"/>
              <w:widowControl w:val="0"/>
              <w:spacing w:after="200" w:line="240" w:lineRule="auto"/>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 xml:space="preserve">3, Sociálne vplyvy </w:t>
            </w:r>
          </w:p>
          <w:p w14:paraId="6646C34D" w14:textId="77777777" w:rsidR="00ED105F" w:rsidRPr="00964B4A" w:rsidRDefault="006E0E68">
            <w:pPr>
              <w:pStyle w:val="Normlny1"/>
              <w:widowControl w:val="0"/>
              <w:spacing w:after="200" w:line="240" w:lineRule="auto"/>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 vplyvy  na hospodárenie obyvateľstva,</w:t>
            </w:r>
          </w:p>
          <w:p w14:paraId="43BF5749" w14:textId="77777777" w:rsidR="00ED105F" w:rsidRPr="00964B4A" w:rsidRDefault="006E0E68">
            <w:pPr>
              <w:pStyle w:val="Normlny1"/>
              <w:widowControl w:val="0"/>
              <w:spacing w:after="200" w:line="240" w:lineRule="auto"/>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 xml:space="preserve">- sociálnu </w:t>
            </w:r>
            <w:proofErr w:type="spellStart"/>
            <w:r w:rsidRPr="00964B4A">
              <w:rPr>
                <w:rFonts w:ascii="Times New Roman" w:eastAsia="Times New Roman" w:hAnsi="Times New Roman" w:cs="Times New Roman"/>
                <w:sz w:val="18"/>
                <w:szCs w:val="18"/>
              </w:rPr>
              <w:t>exklúziu</w:t>
            </w:r>
            <w:proofErr w:type="spellEnd"/>
            <w:r w:rsidRPr="00964B4A">
              <w:rPr>
                <w:rFonts w:ascii="Times New Roman" w:eastAsia="Times New Roman" w:hAnsi="Times New Roman" w:cs="Times New Roman"/>
                <w:sz w:val="18"/>
                <w:szCs w:val="18"/>
              </w:rPr>
              <w:t>,</w:t>
            </w:r>
          </w:p>
          <w:p w14:paraId="1E845E18" w14:textId="77777777" w:rsidR="00ED105F" w:rsidRPr="00964B4A" w:rsidRDefault="006E0E68">
            <w:pPr>
              <w:pStyle w:val="Normlny1"/>
              <w:widowControl w:val="0"/>
              <w:spacing w:after="200" w:line="240" w:lineRule="auto"/>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  rovnosť príležitostí a rodovú rovnosť a vplyvy na zamestnanosť</w:t>
            </w:r>
          </w:p>
        </w:tc>
        <w:tc>
          <w:tcPr>
            <w:tcW w:w="1245" w:type="dxa"/>
            <w:tcBorders>
              <w:top w:val="single" w:sz="4" w:space="0" w:color="000000"/>
              <w:left w:val="single" w:sz="4" w:space="0" w:color="000000"/>
              <w:bottom w:val="single" w:sz="4" w:space="0" w:color="000000"/>
              <w:right w:val="single" w:sz="4" w:space="0" w:color="000000"/>
            </w:tcBorders>
          </w:tcPr>
          <w:p w14:paraId="571A78A3"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p w14:paraId="2D92EEB7"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p w14:paraId="78DCB2BA"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c>
          <w:tcPr>
            <w:tcW w:w="1263" w:type="dxa"/>
            <w:tcBorders>
              <w:top w:val="single" w:sz="4" w:space="0" w:color="000000"/>
              <w:left w:val="single" w:sz="4" w:space="0" w:color="000000"/>
              <w:bottom w:val="single" w:sz="4" w:space="0" w:color="000000"/>
              <w:right w:val="single" w:sz="4" w:space="0" w:color="000000"/>
            </w:tcBorders>
          </w:tcPr>
          <w:p w14:paraId="45C17804" w14:textId="77777777" w:rsidR="00ED105F" w:rsidRPr="00964B4A" w:rsidRDefault="006E0E68">
            <w:pPr>
              <w:pStyle w:val="Normlny1"/>
              <w:widowControl w:val="0"/>
              <w:spacing w:after="200" w:line="240" w:lineRule="auto"/>
              <w:jc w:val="center"/>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X</w:t>
            </w:r>
          </w:p>
          <w:p w14:paraId="2A260167"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c>
          <w:tcPr>
            <w:tcW w:w="1340" w:type="dxa"/>
            <w:tcBorders>
              <w:top w:val="single" w:sz="4" w:space="0" w:color="000000"/>
              <w:left w:val="single" w:sz="4" w:space="0" w:color="000000"/>
              <w:bottom w:val="single" w:sz="4" w:space="0" w:color="000000"/>
              <w:right w:val="single" w:sz="4" w:space="0" w:color="000000"/>
            </w:tcBorders>
          </w:tcPr>
          <w:p w14:paraId="0F109EFE"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r>
      <w:tr w:rsidR="00ED105F" w14:paraId="02AF23E5" w14:textId="77777777">
        <w:trPr>
          <w:trHeight w:val="432"/>
        </w:trPr>
        <w:tc>
          <w:tcPr>
            <w:tcW w:w="3737" w:type="dxa"/>
            <w:tcBorders>
              <w:top w:val="single" w:sz="4" w:space="0" w:color="000000"/>
              <w:left w:val="single" w:sz="4" w:space="0" w:color="000000"/>
              <w:bottom w:val="single" w:sz="4" w:space="0" w:color="000000"/>
              <w:right w:val="single" w:sz="4" w:space="0" w:color="000000"/>
            </w:tcBorders>
          </w:tcPr>
          <w:p w14:paraId="0135B14E" w14:textId="77777777" w:rsidR="00ED105F" w:rsidRPr="00964B4A" w:rsidRDefault="006E0E68">
            <w:pPr>
              <w:pStyle w:val="Normlny1"/>
              <w:widowControl w:val="0"/>
              <w:spacing w:after="200" w:line="240" w:lineRule="auto"/>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4. Vplyvy na životné prostredie</w:t>
            </w:r>
          </w:p>
        </w:tc>
        <w:tc>
          <w:tcPr>
            <w:tcW w:w="1245" w:type="dxa"/>
            <w:tcBorders>
              <w:top w:val="single" w:sz="4" w:space="0" w:color="000000"/>
              <w:left w:val="single" w:sz="4" w:space="0" w:color="000000"/>
              <w:bottom w:val="single" w:sz="4" w:space="0" w:color="000000"/>
              <w:right w:val="single" w:sz="4" w:space="0" w:color="000000"/>
            </w:tcBorders>
          </w:tcPr>
          <w:p w14:paraId="03DFA73A"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c>
          <w:tcPr>
            <w:tcW w:w="1263" w:type="dxa"/>
            <w:tcBorders>
              <w:top w:val="single" w:sz="4" w:space="0" w:color="000000"/>
              <w:left w:val="single" w:sz="4" w:space="0" w:color="000000"/>
              <w:bottom w:val="single" w:sz="4" w:space="0" w:color="000000"/>
              <w:right w:val="single" w:sz="4" w:space="0" w:color="000000"/>
            </w:tcBorders>
          </w:tcPr>
          <w:p w14:paraId="361EFDCA" w14:textId="77777777" w:rsidR="00ED105F" w:rsidRPr="00964B4A" w:rsidRDefault="006E0E68">
            <w:pPr>
              <w:pStyle w:val="Normlny1"/>
              <w:widowControl w:val="0"/>
              <w:spacing w:after="200" w:line="240" w:lineRule="auto"/>
              <w:jc w:val="center"/>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X</w:t>
            </w:r>
          </w:p>
        </w:tc>
        <w:tc>
          <w:tcPr>
            <w:tcW w:w="1340" w:type="dxa"/>
            <w:tcBorders>
              <w:top w:val="single" w:sz="4" w:space="0" w:color="000000"/>
              <w:left w:val="single" w:sz="4" w:space="0" w:color="000000"/>
              <w:bottom w:val="single" w:sz="4" w:space="0" w:color="000000"/>
              <w:right w:val="single" w:sz="4" w:space="0" w:color="000000"/>
            </w:tcBorders>
          </w:tcPr>
          <w:p w14:paraId="5DFB09AD"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r>
      <w:tr w:rsidR="00ED105F" w14:paraId="1F1C2DE6" w14:textId="77777777">
        <w:trPr>
          <w:trHeight w:val="548"/>
        </w:trPr>
        <w:tc>
          <w:tcPr>
            <w:tcW w:w="3737" w:type="dxa"/>
            <w:tcBorders>
              <w:top w:val="single" w:sz="4" w:space="0" w:color="000000"/>
              <w:left w:val="single" w:sz="4" w:space="0" w:color="000000"/>
              <w:bottom w:val="single" w:sz="4" w:space="0" w:color="000000"/>
              <w:right w:val="single" w:sz="4" w:space="0" w:color="000000"/>
            </w:tcBorders>
          </w:tcPr>
          <w:p w14:paraId="1400A6D7" w14:textId="77777777" w:rsidR="00ED105F" w:rsidRPr="00964B4A" w:rsidRDefault="006E0E68">
            <w:pPr>
              <w:pStyle w:val="Normlny1"/>
              <w:widowControl w:val="0"/>
              <w:spacing w:after="200" w:line="240" w:lineRule="auto"/>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5. Vplyvy na informatizáciu spoločnosti</w:t>
            </w:r>
          </w:p>
        </w:tc>
        <w:tc>
          <w:tcPr>
            <w:tcW w:w="1245" w:type="dxa"/>
            <w:tcBorders>
              <w:top w:val="single" w:sz="4" w:space="0" w:color="000000"/>
              <w:left w:val="single" w:sz="4" w:space="0" w:color="000000"/>
              <w:bottom w:val="single" w:sz="4" w:space="0" w:color="000000"/>
              <w:right w:val="single" w:sz="4" w:space="0" w:color="000000"/>
            </w:tcBorders>
          </w:tcPr>
          <w:p w14:paraId="780D44BF"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c>
          <w:tcPr>
            <w:tcW w:w="1263" w:type="dxa"/>
            <w:tcBorders>
              <w:top w:val="single" w:sz="4" w:space="0" w:color="000000"/>
              <w:left w:val="single" w:sz="4" w:space="0" w:color="000000"/>
              <w:bottom w:val="single" w:sz="4" w:space="0" w:color="000000"/>
              <w:right w:val="single" w:sz="4" w:space="0" w:color="000000"/>
            </w:tcBorders>
          </w:tcPr>
          <w:p w14:paraId="30133E89" w14:textId="77777777" w:rsidR="00ED105F" w:rsidRPr="00964B4A" w:rsidRDefault="006E0E68">
            <w:pPr>
              <w:pStyle w:val="Normlny1"/>
              <w:widowControl w:val="0"/>
              <w:spacing w:after="200" w:line="240" w:lineRule="auto"/>
              <w:jc w:val="center"/>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X</w:t>
            </w:r>
          </w:p>
        </w:tc>
        <w:tc>
          <w:tcPr>
            <w:tcW w:w="1340" w:type="dxa"/>
            <w:tcBorders>
              <w:top w:val="single" w:sz="4" w:space="0" w:color="000000"/>
              <w:left w:val="single" w:sz="4" w:space="0" w:color="000000"/>
              <w:bottom w:val="single" w:sz="4" w:space="0" w:color="000000"/>
              <w:right w:val="single" w:sz="4" w:space="0" w:color="000000"/>
            </w:tcBorders>
          </w:tcPr>
          <w:p w14:paraId="6D52DE04"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r>
      <w:tr w:rsidR="00ED105F" w14:paraId="5C080172" w14:textId="77777777">
        <w:trPr>
          <w:trHeight w:val="742"/>
        </w:trPr>
        <w:tc>
          <w:tcPr>
            <w:tcW w:w="3737" w:type="dxa"/>
            <w:tcBorders>
              <w:top w:val="single" w:sz="4" w:space="0" w:color="000000"/>
              <w:left w:val="single" w:sz="4" w:space="0" w:color="000000"/>
              <w:bottom w:val="single" w:sz="4" w:space="0" w:color="000000"/>
              <w:right w:val="single" w:sz="4" w:space="0" w:color="000000"/>
            </w:tcBorders>
          </w:tcPr>
          <w:p w14:paraId="1719A082" w14:textId="77777777" w:rsidR="00ED105F" w:rsidRPr="00964B4A" w:rsidRDefault="006E0E68">
            <w:pPr>
              <w:pStyle w:val="Normlny1"/>
              <w:widowControl w:val="0"/>
              <w:spacing w:after="200" w:line="240" w:lineRule="auto"/>
              <w:rPr>
                <w:rFonts w:ascii="Times New Roman" w:eastAsia="Times New Roman" w:hAnsi="Times New Roman" w:cs="Times New Roman"/>
                <w:sz w:val="18"/>
                <w:szCs w:val="18"/>
              </w:rPr>
            </w:pPr>
            <w:bookmarkStart w:id="0" w:name="_2iqj6ohd0ro0" w:colFirst="0" w:colLast="0"/>
            <w:bookmarkEnd w:id="0"/>
            <w:r w:rsidRPr="00964B4A">
              <w:rPr>
                <w:rFonts w:ascii="Times New Roman" w:eastAsia="Times New Roman" w:hAnsi="Times New Roman" w:cs="Times New Roman"/>
                <w:sz w:val="18"/>
                <w:szCs w:val="18"/>
              </w:rPr>
              <w:t>6. Vplyvy na manželstvo, rodičovstvo a rodinu</w:t>
            </w:r>
          </w:p>
        </w:tc>
        <w:tc>
          <w:tcPr>
            <w:tcW w:w="1245" w:type="dxa"/>
            <w:tcBorders>
              <w:top w:val="single" w:sz="4" w:space="0" w:color="000000"/>
              <w:left w:val="single" w:sz="4" w:space="0" w:color="000000"/>
              <w:bottom w:val="single" w:sz="4" w:space="0" w:color="000000"/>
              <w:right w:val="single" w:sz="4" w:space="0" w:color="000000"/>
            </w:tcBorders>
          </w:tcPr>
          <w:p w14:paraId="4D2F476F"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c>
          <w:tcPr>
            <w:tcW w:w="1263" w:type="dxa"/>
            <w:tcBorders>
              <w:top w:val="single" w:sz="4" w:space="0" w:color="000000"/>
              <w:left w:val="single" w:sz="4" w:space="0" w:color="000000"/>
              <w:bottom w:val="single" w:sz="4" w:space="0" w:color="000000"/>
              <w:right w:val="single" w:sz="4" w:space="0" w:color="000000"/>
            </w:tcBorders>
          </w:tcPr>
          <w:p w14:paraId="29D44D9C" w14:textId="77777777" w:rsidR="00ED105F" w:rsidRPr="00964B4A" w:rsidRDefault="006E0E68">
            <w:pPr>
              <w:pStyle w:val="Normlny1"/>
              <w:widowControl w:val="0"/>
              <w:spacing w:after="200" w:line="240" w:lineRule="auto"/>
              <w:jc w:val="center"/>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X</w:t>
            </w:r>
          </w:p>
        </w:tc>
        <w:tc>
          <w:tcPr>
            <w:tcW w:w="1340" w:type="dxa"/>
            <w:tcBorders>
              <w:top w:val="single" w:sz="4" w:space="0" w:color="000000"/>
              <w:left w:val="single" w:sz="4" w:space="0" w:color="000000"/>
              <w:bottom w:val="single" w:sz="4" w:space="0" w:color="000000"/>
              <w:right w:val="single" w:sz="4" w:space="0" w:color="000000"/>
            </w:tcBorders>
          </w:tcPr>
          <w:p w14:paraId="50B21CCF"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r>
      <w:tr w:rsidR="00ED105F" w14:paraId="5094113D" w14:textId="77777777" w:rsidTr="00964B4A">
        <w:trPr>
          <w:trHeight w:val="446"/>
        </w:trPr>
        <w:tc>
          <w:tcPr>
            <w:tcW w:w="3737" w:type="dxa"/>
            <w:tcBorders>
              <w:top w:val="single" w:sz="4" w:space="0" w:color="000000"/>
              <w:left w:val="single" w:sz="4" w:space="0" w:color="000000"/>
              <w:bottom w:val="single" w:sz="4" w:space="0" w:color="000000"/>
              <w:right w:val="single" w:sz="4" w:space="0" w:color="000000"/>
            </w:tcBorders>
          </w:tcPr>
          <w:p w14:paraId="3A2C60DC" w14:textId="77777777" w:rsidR="00ED105F" w:rsidRPr="00964B4A" w:rsidRDefault="006E0E68">
            <w:pPr>
              <w:pStyle w:val="Normlny1"/>
              <w:widowControl w:val="0"/>
              <w:spacing w:after="200" w:line="240" w:lineRule="auto"/>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7. Vplyvy na služby verejnej správy pre občana</w:t>
            </w:r>
          </w:p>
        </w:tc>
        <w:tc>
          <w:tcPr>
            <w:tcW w:w="1245" w:type="dxa"/>
            <w:tcBorders>
              <w:top w:val="single" w:sz="4" w:space="0" w:color="000000"/>
              <w:left w:val="single" w:sz="4" w:space="0" w:color="000000"/>
              <w:bottom w:val="single" w:sz="4" w:space="0" w:color="000000"/>
              <w:right w:val="single" w:sz="4" w:space="0" w:color="000000"/>
            </w:tcBorders>
          </w:tcPr>
          <w:p w14:paraId="538CA7B8" w14:textId="77777777" w:rsidR="00ED105F" w:rsidRPr="00964B4A" w:rsidRDefault="006E0E68">
            <w:pPr>
              <w:pStyle w:val="Normlny1"/>
              <w:widowControl w:val="0"/>
              <w:spacing w:after="200" w:line="240" w:lineRule="auto"/>
              <w:jc w:val="center"/>
              <w:rPr>
                <w:rFonts w:ascii="Times New Roman" w:eastAsia="Times New Roman" w:hAnsi="Times New Roman" w:cs="Times New Roman"/>
                <w:sz w:val="18"/>
                <w:szCs w:val="18"/>
              </w:rPr>
            </w:pPr>
            <w:r w:rsidRPr="00964B4A">
              <w:rPr>
                <w:rFonts w:ascii="Times New Roman" w:eastAsia="Times New Roman" w:hAnsi="Times New Roman" w:cs="Times New Roman"/>
                <w:sz w:val="18"/>
                <w:szCs w:val="18"/>
              </w:rPr>
              <w:t>X</w:t>
            </w:r>
          </w:p>
        </w:tc>
        <w:tc>
          <w:tcPr>
            <w:tcW w:w="1263" w:type="dxa"/>
            <w:tcBorders>
              <w:top w:val="single" w:sz="4" w:space="0" w:color="000000"/>
              <w:left w:val="single" w:sz="4" w:space="0" w:color="000000"/>
              <w:bottom w:val="single" w:sz="4" w:space="0" w:color="000000"/>
              <w:right w:val="single" w:sz="4" w:space="0" w:color="000000"/>
            </w:tcBorders>
          </w:tcPr>
          <w:p w14:paraId="560B28D7"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c>
          <w:tcPr>
            <w:tcW w:w="1340" w:type="dxa"/>
            <w:tcBorders>
              <w:top w:val="single" w:sz="4" w:space="0" w:color="000000"/>
              <w:left w:val="single" w:sz="4" w:space="0" w:color="000000"/>
              <w:bottom w:val="single" w:sz="4" w:space="0" w:color="000000"/>
              <w:right w:val="single" w:sz="4" w:space="0" w:color="000000"/>
            </w:tcBorders>
          </w:tcPr>
          <w:p w14:paraId="052AA8A2" w14:textId="77777777" w:rsidR="00ED105F" w:rsidRPr="00964B4A" w:rsidRDefault="00ED105F">
            <w:pPr>
              <w:pStyle w:val="Normlny1"/>
              <w:widowControl w:val="0"/>
              <w:spacing w:after="200" w:line="240" w:lineRule="auto"/>
              <w:jc w:val="center"/>
              <w:rPr>
                <w:rFonts w:ascii="Times New Roman" w:eastAsia="Times New Roman" w:hAnsi="Times New Roman" w:cs="Times New Roman"/>
                <w:sz w:val="18"/>
                <w:szCs w:val="18"/>
              </w:rPr>
            </w:pPr>
          </w:p>
        </w:tc>
      </w:tr>
    </w:tbl>
    <w:p w14:paraId="5B662873" w14:textId="77777777" w:rsidR="00ED105F" w:rsidRDefault="006E0E68">
      <w:pPr>
        <w:pStyle w:val="Normlny1"/>
        <w:spacing w:after="120" w:line="240" w:lineRule="auto"/>
        <w:jc w:val="both"/>
        <w:rPr>
          <w:rFonts w:ascii="Times New Roman" w:eastAsia="Times New Roman" w:hAnsi="Times New Roman" w:cs="Times New Roman"/>
          <w:b/>
          <w:bCs/>
          <w:sz w:val="16"/>
          <w:szCs w:val="16"/>
        </w:rPr>
      </w:pPr>
      <w:r>
        <w:rPr>
          <w:rFonts w:ascii="Times New Roman" w:eastAsia="Times New Roman" w:hAnsi="Times New Roman" w:cs="Times New Roman"/>
          <w:sz w:val="16"/>
          <w:szCs w:val="16"/>
        </w:rPr>
        <w:t>* Predkladateľ označí znakom x zodpovedajúci vplyv (pozitívny, negatívny, žiadny), ktorý návrh prináša v každej oblasti posudzovania vplyvov. Návrh môže mať v jednej oblasti zároveň pozitívny aj negatívny vplyv, v tom prípade predkladateľ označí obe možnosti. Bližšie vysvetlenie označených vplyvov bude obsahovať analýza vplyvov. Isté vysvetlenie, či bilanciu vplyvov (sumárne zhodnotenie, ktorý vplyv v danej oblasti prevažuje) môže predkladateľ uviesť v poznámke.</w:t>
      </w:r>
    </w:p>
    <w:p w14:paraId="792AB511" w14:textId="77777777" w:rsidR="00ED105F" w:rsidRPr="00964B4A" w:rsidRDefault="006E0E68">
      <w:pPr>
        <w:pStyle w:val="Normlny1"/>
        <w:spacing w:after="120" w:line="240" w:lineRule="auto"/>
        <w:jc w:val="both"/>
        <w:rPr>
          <w:rFonts w:ascii="Times New Roman" w:eastAsia="Times New Roman" w:hAnsi="Times New Roman" w:cs="Times New Roman"/>
          <w:b/>
          <w:bCs/>
        </w:rPr>
      </w:pPr>
      <w:r w:rsidRPr="00964B4A">
        <w:rPr>
          <w:rFonts w:ascii="Times New Roman" w:eastAsia="Times New Roman" w:hAnsi="Times New Roman" w:cs="Times New Roman"/>
          <w:b/>
          <w:bCs/>
        </w:rPr>
        <w:t>A.3. Poznámky</w:t>
      </w:r>
    </w:p>
    <w:p w14:paraId="76713F97" w14:textId="77777777" w:rsidR="00ED105F" w:rsidRPr="00964B4A" w:rsidRDefault="006E0E68">
      <w:pPr>
        <w:pStyle w:val="Normlny1"/>
        <w:widowControl w:val="0"/>
        <w:spacing w:after="200"/>
        <w:rPr>
          <w:rFonts w:ascii="Calibri" w:eastAsia="Calibri" w:hAnsi="Calibri" w:cs="Calibri"/>
          <w:sz w:val="18"/>
          <w:szCs w:val="18"/>
        </w:rPr>
      </w:pPr>
      <w:r w:rsidRPr="00964B4A">
        <w:rPr>
          <w:rFonts w:ascii="Times New Roman" w:eastAsia="Times New Roman" w:hAnsi="Times New Roman" w:cs="Times New Roman"/>
          <w:sz w:val="18"/>
          <w:szCs w:val="18"/>
        </w:rPr>
        <w:t>Pozitívny vplyv na služby verejnej správy pre občana vyplýva zo zrušenia povinnosti samospráv rozpočtovať nerastúce výdavky a povinnosti schvaľovať vyrovnaný alebo prebytkový rozpočet v čase uplatňovania prísnych sankčných pásiem dlhovej brzdy. Odstránenie týchto obmedzení pre subjekty územnej samosprávy, ktoré vykazujú dlhodobo nízku mieru zadlženia, zabráni vynútenej redukcii rozsahu a kvality poskytovaných verejných služieb (napr. v oblasti školstva, sociálnej starostlivosti, dopravy či údržby infraštruktúry), ku ktorej by inak samosprávy museli pristúpiť v snahe dodržať ústavné limity stanovené pre sektor verejnej správy ako celok.</w:t>
      </w:r>
    </w:p>
    <w:p w14:paraId="71A16BC7" w14:textId="77777777" w:rsidR="00ED105F" w:rsidRPr="00964B4A" w:rsidRDefault="006E0E68">
      <w:pPr>
        <w:pStyle w:val="Normlny1"/>
        <w:spacing w:after="120" w:line="240" w:lineRule="auto"/>
        <w:jc w:val="both"/>
        <w:rPr>
          <w:rFonts w:ascii="Times New Roman" w:eastAsia="Times New Roman" w:hAnsi="Times New Roman" w:cs="Times New Roman"/>
          <w:b/>
          <w:bCs/>
        </w:rPr>
      </w:pPr>
      <w:r w:rsidRPr="00964B4A">
        <w:rPr>
          <w:rFonts w:ascii="Times New Roman" w:eastAsia="Times New Roman" w:hAnsi="Times New Roman" w:cs="Times New Roman"/>
          <w:b/>
          <w:bCs/>
        </w:rPr>
        <w:t>A.4. Alternatívne riešenia</w:t>
      </w:r>
    </w:p>
    <w:p w14:paraId="58B0AF19" w14:textId="77777777" w:rsidR="00ED105F" w:rsidRPr="00964B4A" w:rsidRDefault="006E0E68">
      <w:pPr>
        <w:pStyle w:val="Normlny1"/>
        <w:spacing w:after="120" w:line="240" w:lineRule="auto"/>
        <w:jc w:val="both"/>
        <w:rPr>
          <w:rFonts w:ascii="Times New Roman" w:eastAsia="Times New Roman" w:hAnsi="Times New Roman" w:cs="Times New Roman"/>
        </w:rPr>
      </w:pPr>
      <w:r w:rsidRPr="00964B4A">
        <w:rPr>
          <w:rFonts w:ascii="Times New Roman" w:eastAsia="Times New Roman" w:hAnsi="Times New Roman" w:cs="Times New Roman"/>
        </w:rPr>
        <w:t xml:space="preserve">Nepredkladajú sa. </w:t>
      </w:r>
    </w:p>
    <w:p w14:paraId="0D3A2B06" w14:textId="77777777" w:rsidR="00ED105F" w:rsidRPr="00964B4A" w:rsidRDefault="006E0E68">
      <w:pPr>
        <w:pStyle w:val="Normlny1"/>
        <w:spacing w:after="120" w:line="240" w:lineRule="auto"/>
        <w:rPr>
          <w:rFonts w:ascii="Times New Roman" w:eastAsia="Times New Roman" w:hAnsi="Times New Roman" w:cs="Times New Roman"/>
          <w:b/>
          <w:bCs/>
        </w:rPr>
      </w:pPr>
      <w:r w:rsidRPr="00964B4A">
        <w:rPr>
          <w:rFonts w:ascii="Times New Roman" w:eastAsia="Times New Roman" w:hAnsi="Times New Roman" w:cs="Times New Roman"/>
          <w:b/>
          <w:bCs/>
        </w:rPr>
        <w:t xml:space="preserve">A.5. Stanovisko gestorov </w:t>
      </w:r>
    </w:p>
    <w:p w14:paraId="0B914FF6" w14:textId="77777777" w:rsidR="00ED105F" w:rsidRDefault="006E0E68" w:rsidP="00964B4A">
      <w:pPr>
        <w:pStyle w:val="Normlny1"/>
        <w:widowControl w:val="0"/>
        <w:spacing w:after="200"/>
        <w:rPr>
          <w:rFonts w:ascii="Times New Roman" w:eastAsia="Times New Roman" w:hAnsi="Times New Roman" w:cs="Times New Roman"/>
          <w:sz w:val="24"/>
          <w:szCs w:val="24"/>
        </w:rPr>
      </w:pPr>
      <w:r w:rsidRPr="00964B4A">
        <w:rPr>
          <w:rFonts w:ascii="Times New Roman" w:eastAsia="Times New Roman" w:hAnsi="Times New Roman" w:cs="Times New Roman"/>
        </w:rPr>
        <w:t xml:space="preserve">Bezpredmetné </w:t>
      </w:r>
    </w:p>
    <w:sectPr w:rsidR="00ED105F" w:rsidSect="00ED105F">
      <w:pgSz w:w="11909" w:h="16834"/>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56AB49" w14:textId="77777777" w:rsidR="002F207F" w:rsidRDefault="002F207F" w:rsidP="00ED105F">
      <w:pPr>
        <w:spacing w:line="240" w:lineRule="auto"/>
      </w:pPr>
      <w:r>
        <w:separator/>
      </w:r>
    </w:p>
  </w:endnote>
  <w:endnote w:type="continuationSeparator" w:id="0">
    <w:p w14:paraId="66E39622" w14:textId="77777777" w:rsidR="002F207F" w:rsidRDefault="002F207F" w:rsidP="00ED105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B9343A4A-0BB4-4497-8449-26E6047CB98C}"/>
  </w:font>
  <w:font w:name="Cambria">
    <w:panose1 w:val="02040503050406030204"/>
    <w:charset w:val="EE"/>
    <w:family w:val="roman"/>
    <w:pitch w:val="variable"/>
    <w:sig w:usb0="E00006FF" w:usb1="420024FF" w:usb2="02000000" w:usb3="00000000" w:csb0="0000019F" w:csb1="00000000"/>
    <w:embedRegular r:id="rId2" w:fontKey="{4BA06160-7AFC-43D4-9B2E-167456F5B93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17C05F" w14:textId="77777777" w:rsidR="002F207F" w:rsidRDefault="002F207F" w:rsidP="00ED105F">
      <w:pPr>
        <w:spacing w:line="240" w:lineRule="auto"/>
      </w:pPr>
      <w:r>
        <w:separator/>
      </w:r>
    </w:p>
  </w:footnote>
  <w:footnote w:type="continuationSeparator" w:id="0">
    <w:p w14:paraId="6E416DD8" w14:textId="77777777" w:rsidR="002F207F" w:rsidRDefault="002F207F" w:rsidP="00ED105F">
      <w:pPr>
        <w:spacing w:line="240" w:lineRule="auto"/>
      </w:pPr>
      <w:r>
        <w:continuationSeparator/>
      </w:r>
    </w:p>
  </w:footnote>
  <w:footnote w:id="1">
    <w:p w14:paraId="051D854E" w14:textId="77777777" w:rsidR="00ED105F" w:rsidRDefault="006E0E68">
      <w:pPr>
        <w:pStyle w:val="Normlny1"/>
        <w:spacing w:line="240" w:lineRule="auto"/>
        <w:rPr>
          <w:sz w:val="20"/>
          <w:szCs w:val="20"/>
        </w:rPr>
      </w:pPr>
      <w:r>
        <w:rPr>
          <w:vertAlign w:val="superscript"/>
        </w:rPr>
        <w:footnoteRef/>
      </w:r>
      <w:r>
        <w:rPr>
          <w:sz w:val="20"/>
          <w:szCs w:val="20"/>
        </w:rPr>
        <w:t xml:space="preserve"> RRZ: Stanovisko k samosprávam a sankciám dlhovej brzdy, júl 2025, dostupné na </w:t>
      </w:r>
      <w:hyperlink r:id="rId1">
        <w:r>
          <w:rPr>
            <w:color w:val="1155CC"/>
            <w:sz w:val="20"/>
            <w:szCs w:val="20"/>
            <w:u w:val="single"/>
          </w:rPr>
          <w:t>https://www.rrz.sk/stanovisko/stanovisko-k-samospravam-a-sankciam-dlhovej-brzdy/</w:t>
        </w:r>
      </w:hyperlink>
      <w:r>
        <w:rPr>
          <w:sz w:val="20"/>
          <w:szCs w:val="20"/>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F27559"/>
    <w:multiLevelType w:val="multilevel"/>
    <w:tmpl w:val="6E507A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A734151"/>
    <w:multiLevelType w:val="multilevel"/>
    <w:tmpl w:val="FDE27B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D5E07E8"/>
    <w:multiLevelType w:val="multilevel"/>
    <w:tmpl w:val="0A2CB22A"/>
    <w:lvl w:ilvl="0">
      <w:start w:val="1"/>
      <w:numFmt w:val="upperLetter"/>
      <w:lvlText w:val="%1."/>
      <w:lvlJc w:val="left"/>
      <w:pPr>
        <w:ind w:left="1068" w:hanging="360"/>
      </w:pPr>
      <w:rPr>
        <w:u w:val="none"/>
      </w:rPr>
    </w:lvl>
    <w:lvl w:ilvl="1">
      <w:start w:val="1"/>
      <w:numFmt w:val="lowerLetter"/>
      <w:lvlText w:val="%2."/>
      <w:lvlJc w:val="left"/>
      <w:pPr>
        <w:ind w:left="1788" w:hanging="360"/>
      </w:pPr>
      <w:rPr>
        <w:u w:val="none"/>
      </w:rPr>
    </w:lvl>
    <w:lvl w:ilvl="2">
      <w:start w:val="1"/>
      <w:numFmt w:val="lowerRoman"/>
      <w:lvlText w:val="%3."/>
      <w:lvlJc w:val="right"/>
      <w:pPr>
        <w:ind w:left="2508" w:hanging="180"/>
      </w:pPr>
      <w:rPr>
        <w:u w:val="none"/>
      </w:rPr>
    </w:lvl>
    <w:lvl w:ilvl="3">
      <w:start w:val="1"/>
      <w:numFmt w:val="decimal"/>
      <w:lvlText w:val="%4."/>
      <w:lvlJc w:val="left"/>
      <w:pPr>
        <w:ind w:left="3228" w:hanging="360"/>
      </w:pPr>
      <w:rPr>
        <w:u w:val="none"/>
      </w:rPr>
    </w:lvl>
    <w:lvl w:ilvl="4">
      <w:start w:val="1"/>
      <w:numFmt w:val="lowerLetter"/>
      <w:lvlText w:val="%5."/>
      <w:lvlJc w:val="left"/>
      <w:pPr>
        <w:ind w:left="3948" w:hanging="360"/>
      </w:pPr>
      <w:rPr>
        <w:u w:val="none"/>
      </w:rPr>
    </w:lvl>
    <w:lvl w:ilvl="5">
      <w:start w:val="1"/>
      <w:numFmt w:val="lowerRoman"/>
      <w:lvlText w:val="%6."/>
      <w:lvlJc w:val="right"/>
      <w:pPr>
        <w:ind w:left="4668" w:hanging="180"/>
      </w:pPr>
      <w:rPr>
        <w:u w:val="none"/>
      </w:rPr>
    </w:lvl>
    <w:lvl w:ilvl="6">
      <w:start w:val="1"/>
      <w:numFmt w:val="decimal"/>
      <w:lvlText w:val="%7."/>
      <w:lvlJc w:val="left"/>
      <w:pPr>
        <w:ind w:left="5388" w:hanging="360"/>
      </w:pPr>
      <w:rPr>
        <w:u w:val="none"/>
      </w:rPr>
    </w:lvl>
    <w:lvl w:ilvl="7">
      <w:start w:val="1"/>
      <w:numFmt w:val="lowerLetter"/>
      <w:lvlText w:val="%8."/>
      <w:lvlJc w:val="left"/>
      <w:pPr>
        <w:ind w:left="6108" w:hanging="360"/>
      </w:pPr>
      <w:rPr>
        <w:u w:val="none"/>
      </w:rPr>
    </w:lvl>
    <w:lvl w:ilvl="8">
      <w:start w:val="1"/>
      <w:numFmt w:val="lowerRoman"/>
      <w:lvlText w:val="%9."/>
      <w:lvlJc w:val="right"/>
      <w:pPr>
        <w:ind w:left="6828" w:hanging="180"/>
      </w:pPr>
      <w:rPr>
        <w:u w:val="none"/>
      </w:rPr>
    </w:lvl>
  </w:abstractNum>
  <w:num w:numId="1" w16cid:durableId="643461566">
    <w:abstractNumId w:val="2"/>
  </w:num>
  <w:num w:numId="2" w16cid:durableId="1001930444">
    <w:abstractNumId w:val="0"/>
  </w:num>
  <w:num w:numId="3" w16cid:durableId="220504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105F"/>
    <w:rsid w:val="00166736"/>
    <w:rsid w:val="002F207F"/>
    <w:rsid w:val="0048356B"/>
    <w:rsid w:val="006E0E68"/>
    <w:rsid w:val="00964B4A"/>
    <w:rsid w:val="00B70132"/>
    <w:rsid w:val="00C21F5B"/>
    <w:rsid w:val="00D84352"/>
    <w:rsid w:val="00D95C5A"/>
    <w:rsid w:val="00ED105F"/>
    <w:rsid w:val="00F67B1C"/>
    <w:rsid w:val="00F92D16"/>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605B1E"/>
  <w15:docId w15:val="{FFF6C2C8-9DC1-4E46-A018-63FCE351EA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sk-SK" w:eastAsia="sk-SK"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style>
  <w:style w:type="paragraph" w:styleId="Nadpis1">
    <w:name w:val="heading 1"/>
    <w:basedOn w:val="Normlny1"/>
    <w:next w:val="Normlny1"/>
    <w:rsid w:val="00ED105F"/>
    <w:pPr>
      <w:keepNext/>
      <w:keepLines/>
      <w:spacing w:before="400" w:after="120"/>
      <w:outlineLvl w:val="0"/>
    </w:pPr>
    <w:rPr>
      <w:sz w:val="40"/>
      <w:szCs w:val="40"/>
    </w:rPr>
  </w:style>
  <w:style w:type="paragraph" w:styleId="Nadpis2">
    <w:name w:val="heading 2"/>
    <w:basedOn w:val="Normlny1"/>
    <w:next w:val="Normlny1"/>
    <w:rsid w:val="00ED105F"/>
    <w:pPr>
      <w:keepNext/>
      <w:keepLines/>
      <w:spacing w:before="360" w:after="120"/>
      <w:outlineLvl w:val="1"/>
    </w:pPr>
    <w:rPr>
      <w:sz w:val="32"/>
      <w:szCs w:val="32"/>
    </w:rPr>
  </w:style>
  <w:style w:type="paragraph" w:styleId="Nadpis3">
    <w:name w:val="heading 3"/>
    <w:basedOn w:val="Normlny1"/>
    <w:next w:val="Normlny1"/>
    <w:rsid w:val="00ED105F"/>
    <w:pPr>
      <w:keepNext/>
      <w:keepLines/>
      <w:spacing w:before="320" w:after="80"/>
      <w:outlineLvl w:val="2"/>
    </w:pPr>
    <w:rPr>
      <w:color w:val="434343"/>
      <w:sz w:val="28"/>
      <w:szCs w:val="28"/>
    </w:rPr>
  </w:style>
  <w:style w:type="paragraph" w:styleId="Nadpis4">
    <w:name w:val="heading 4"/>
    <w:basedOn w:val="Normlny1"/>
    <w:next w:val="Normlny1"/>
    <w:rsid w:val="00ED105F"/>
    <w:pPr>
      <w:keepNext/>
      <w:keepLines/>
      <w:spacing w:before="280" w:after="80"/>
      <w:outlineLvl w:val="3"/>
    </w:pPr>
    <w:rPr>
      <w:color w:val="666666"/>
      <w:sz w:val="24"/>
      <w:szCs w:val="24"/>
    </w:rPr>
  </w:style>
  <w:style w:type="paragraph" w:styleId="Nadpis5">
    <w:name w:val="heading 5"/>
    <w:basedOn w:val="Normlny1"/>
    <w:next w:val="Normlny1"/>
    <w:rsid w:val="00ED105F"/>
    <w:pPr>
      <w:keepNext/>
      <w:keepLines/>
      <w:spacing w:before="240" w:after="80"/>
      <w:outlineLvl w:val="4"/>
    </w:pPr>
    <w:rPr>
      <w:color w:val="666666"/>
    </w:rPr>
  </w:style>
  <w:style w:type="paragraph" w:styleId="Nadpis6">
    <w:name w:val="heading 6"/>
    <w:basedOn w:val="Normlny1"/>
    <w:next w:val="Normlny1"/>
    <w:rsid w:val="00ED105F"/>
    <w:pPr>
      <w:keepNext/>
      <w:keepLines/>
      <w:spacing w:before="240" w:after="80"/>
      <w:outlineLvl w:val="5"/>
    </w:pPr>
    <w:rPr>
      <w:i/>
      <w:iCs/>
      <w:color w:val="666666"/>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rsid w:val="00ED105F"/>
    <w:tblPr>
      <w:tblCellMar>
        <w:top w:w="100" w:type="dxa"/>
        <w:left w:w="100" w:type="dxa"/>
        <w:bottom w:w="100" w:type="dxa"/>
        <w:right w:w="100" w:type="dxa"/>
      </w:tblCellMar>
    </w:tblPr>
  </w:style>
  <w:style w:type="paragraph" w:customStyle="1" w:styleId="Normlny1">
    <w:name w:val="Normálny1"/>
    <w:rsid w:val="00ED105F"/>
  </w:style>
  <w:style w:type="paragraph" w:styleId="Nzov">
    <w:name w:val="Title"/>
    <w:basedOn w:val="Normlny1"/>
    <w:next w:val="Normlny1"/>
    <w:rsid w:val="00ED105F"/>
    <w:pPr>
      <w:keepNext/>
      <w:keepLines/>
      <w:spacing w:after="60"/>
    </w:pPr>
    <w:rPr>
      <w:sz w:val="52"/>
      <w:szCs w:val="52"/>
    </w:rPr>
  </w:style>
  <w:style w:type="paragraph" w:styleId="Podtitul">
    <w:name w:val="Subtitle"/>
    <w:basedOn w:val="Normlny1"/>
    <w:next w:val="Normlny1"/>
    <w:rsid w:val="00ED105F"/>
    <w:pPr>
      <w:keepNext/>
      <w:keepLines/>
      <w:spacing w:after="320"/>
    </w:pPr>
    <w:rPr>
      <w:color w:val="666666"/>
      <w:sz w:val="30"/>
      <w:szCs w:val="30"/>
    </w:rPr>
  </w:style>
  <w:style w:type="table" w:customStyle="1" w:styleId="a">
    <w:basedOn w:val="TableNormal"/>
    <w:rsid w:val="00ED105F"/>
    <w:tblPr>
      <w:tblStyleRowBandSize w:val="1"/>
      <w:tblStyleColBandSize w:val="1"/>
      <w:tblCellMar>
        <w:top w:w="57" w:type="dxa"/>
        <w:left w:w="115" w:type="dxa"/>
        <w:bottom w:w="57"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footnotes.xml.rels><?xml version="1.0" encoding="UTF-8" standalone="yes"?>
<Relationships xmlns="http://schemas.openxmlformats.org/package/2006/relationships"><Relationship Id="rId1" Type="http://schemas.openxmlformats.org/officeDocument/2006/relationships/hyperlink" Target="https://www.rrz.sk/stanovisko/stanovisko-k-samospravam-a-sankciam-dlhovej-brzd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1694</Words>
  <Characters>9657</Characters>
  <DocSecurity>0</DocSecurity>
  <Lines>80</Lines>
  <Paragraphs>22</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11329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2026-05-04T16:19:00Z</dcterms:created>
  <dcterms:modified xsi:type="dcterms:W3CDTF">2026-05-04T16:19:00Z</dcterms:modified>
</cp:coreProperties>
</file>